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ook w:val="04A0" w:firstRow="1" w:lastRow="0" w:firstColumn="1" w:lastColumn="0" w:noHBand="0" w:noVBand="1"/>
      </w:tblPr>
      <w:tblGrid>
        <w:gridCol w:w="1990"/>
        <w:gridCol w:w="8450"/>
      </w:tblGrid>
      <w:tr w:rsidR="00FA7999" w:rsidRPr="00D10B77" w14:paraId="77074113" w14:textId="77777777" w:rsidTr="00366656">
        <w:tc>
          <w:tcPr>
            <w:tcW w:w="1990" w:type="dxa"/>
          </w:tcPr>
          <w:p w14:paraId="2B2F7521" w14:textId="51FB83F2" w:rsidR="00512D68" w:rsidRDefault="00512D68" w:rsidP="00512D68">
            <w:pPr>
              <w:pStyle w:val="BodyTextRight"/>
            </w:pPr>
            <w:bookmarkStart w:id="0" w:name="_GoBack"/>
            <w:bookmarkEnd w:id="0"/>
            <w:r>
              <w:t xml:space="preserve">Definition: </w:t>
            </w:r>
          </w:p>
          <w:p w14:paraId="201CBB58" w14:textId="77777777" w:rsidR="00512D68" w:rsidRPr="00512D68" w:rsidRDefault="00512D68" w:rsidP="0032643D">
            <w:pPr>
              <w:pStyle w:val="BodyTextRight"/>
              <w:rPr>
                <w:sz w:val="12"/>
                <w:szCs w:val="12"/>
              </w:rPr>
            </w:pPr>
          </w:p>
          <w:p w14:paraId="2630F462" w14:textId="77777777" w:rsidR="006E5EA6" w:rsidRDefault="006E5EA6" w:rsidP="0032643D">
            <w:pPr>
              <w:pStyle w:val="BodyTextRight"/>
            </w:pPr>
          </w:p>
          <w:p w14:paraId="77074111" w14:textId="77777777" w:rsidR="00FA7999" w:rsidRPr="006D06BD" w:rsidRDefault="00FA7999" w:rsidP="0032643D">
            <w:pPr>
              <w:pStyle w:val="BodyTextRight"/>
            </w:pPr>
            <w:r w:rsidRPr="006D06BD">
              <w:t>Tool:</w:t>
            </w:r>
          </w:p>
        </w:tc>
        <w:tc>
          <w:tcPr>
            <w:tcW w:w="8450" w:type="dxa"/>
          </w:tcPr>
          <w:p w14:paraId="56AD4170" w14:textId="6C6F759D" w:rsidR="00512D68" w:rsidRDefault="006E5EA6" w:rsidP="0032643D">
            <w:pPr>
              <w:pStyle w:val="BodyText"/>
            </w:pPr>
            <w:r>
              <w:t>A Non-Credentialed Person may</w:t>
            </w:r>
            <w:r w:rsidR="00512D68">
              <w:t xml:space="preserve"> be a licensed or a non-licensed person who is not credentialed by the affiliate institution to perform specific </w:t>
            </w:r>
            <w:r w:rsidR="00B356DF">
              <w:t>research</w:t>
            </w:r>
            <w:r w:rsidR="00512D68">
              <w:t xml:space="preserve"> procedures or tasks. </w:t>
            </w:r>
          </w:p>
          <w:p w14:paraId="3F1C1FF4" w14:textId="77777777" w:rsidR="006E5EA6" w:rsidRDefault="006E5EA6" w:rsidP="00512D68">
            <w:pPr>
              <w:pStyle w:val="BodyText"/>
            </w:pPr>
          </w:p>
          <w:p w14:paraId="77074112" w14:textId="54E7F922" w:rsidR="00FA7999" w:rsidRPr="006D06BD" w:rsidRDefault="00B37D7D" w:rsidP="00512D68">
            <w:pPr>
              <w:pStyle w:val="BodyText"/>
            </w:pPr>
            <w:r>
              <w:t>CTRC Training of Non-</w:t>
            </w:r>
            <w:r w:rsidR="00512D68">
              <w:t>Credentialed</w:t>
            </w:r>
            <w:r>
              <w:t xml:space="preserve"> Personnel conducting research. </w:t>
            </w:r>
            <w:r w:rsidR="00FA7999" w:rsidRPr="006D06BD">
              <w:t xml:space="preserve"> </w:t>
            </w:r>
          </w:p>
        </w:tc>
      </w:tr>
      <w:tr w:rsidR="00FA7999" w:rsidRPr="00D10B77" w14:paraId="77074116" w14:textId="77777777" w:rsidTr="00366656">
        <w:tc>
          <w:tcPr>
            <w:tcW w:w="1990" w:type="dxa"/>
          </w:tcPr>
          <w:p w14:paraId="77074114" w14:textId="77777777" w:rsidR="00FA7999" w:rsidRPr="00D10B77" w:rsidRDefault="00FA7999" w:rsidP="0032643D">
            <w:pPr>
              <w:pStyle w:val="BodyTextRight"/>
            </w:pPr>
            <w:r w:rsidRPr="00D10B77">
              <w:t>Purpose:</w:t>
            </w:r>
          </w:p>
        </w:tc>
        <w:tc>
          <w:tcPr>
            <w:tcW w:w="8450" w:type="dxa"/>
          </w:tcPr>
          <w:p w14:paraId="33E4F3BB" w14:textId="0AFFF057" w:rsidR="00FA7999" w:rsidRDefault="00B37D7D" w:rsidP="0032643D">
            <w:pPr>
              <w:pStyle w:val="BodyText"/>
            </w:pPr>
            <w:r w:rsidRPr="00284C3F">
              <w:t xml:space="preserve">To provide </w:t>
            </w:r>
            <w:r>
              <w:t xml:space="preserve">a Generic </w:t>
            </w:r>
            <w:r w:rsidRPr="00284C3F">
              <w:t>Stan</w:t>
            </w:r>
            <w:r w:rsidR="00512D68">
              <w:t>dard Operating Procedure for the</w:t>
            </w:r>
            <w:r w:rsidRPr="00284C3F">
              <w:t xml:space="preserve"> CTRC Network with guidelines for training non-</w:t>
            </w:r>
            <w:r w:rsidR="00126B35">
              <w:t>credentialed</w:t>
            </w:r>
            <w:r w:rsidRPr="00284C3F">
              <w:t xml:space="preserve"> personnel</w:t>
            </w:r>
            <w:r w:rsidR="00B356DF">
              <w:t xml:space="preserve"> for clinical research procedures</w:t>
            </w:r>
            <w:r w:rsidRPr="00284C3F">
              <w:t>.</w:t>
            </w:r>
          </w:p>
          <w:p w14:paraId="3502B101" w14:textId="1DCC1C1D" w:rsidR="00B37D7D" w:rsidRDefault="00B37D7D" w:rsidP="00512D68">
            <w:pPr>
              <w:pStyle w:val="BodyText"/>
              <w:numPr>
                <w:ilvl w:val="0"/>
                <w:numId w:val="4"/>
              </w:numPr>
            </w:pPr>
            <w:r>
              <w:t xml:space="preserve">Each CTRC Site will be responsible for creating </w:t>
            </w:r>
            <w:r w:rsidR="00512D68">
              <w:t xml:space="preserve">competency SOPs for </w:t>
            </w:r>
            <w:r w:rsidR="00B356DF">
              <w:t>training needs at their</w:t>
            </w:r>
            <w:r w:rsidR="00126B35">
              <w:t xml:space="preserve"> </w:t>
            </w:r>
            <w:r>
              <w:t xml:space="preserve">site. </w:t>
            </w:r>
          </w:p>
          <w:p w14:paraId="77074115" w14:textId="46FF4847" w:rsidR="006E5EA6" w:rsidRPr="009C1CC7" w:rsidRDefault="006F08CA" w:rsidP="006F08CA">
            <w:pPr>
              <w:pStyle w:val="BodyText"/>
              <w:tabs>
                <w:tab w:val="left" w:pos="3225"/>
              </w:tabs>
              <w:ind w:left="720"/>
            </w:pPr>
            <w:r>
              <w:tab/>
            </w:r>
          </w:p>
        </w:tc>
      </w:tr>
      <w:tr w:rsidR="00FA7999" w:rsidRPr="00D10B77" w14:paraId="77074119" w14:textId="77777777" w:rsidTr="00366656">
        <w:tc>
          <w:tcPr>
            <w:tcW w:w="1990" w:type="dxa"/>
          </w:tcPr>
          <w:p w14:paraId="77074117" w14:textId="77777777" w:rsidR="00FA7999" w:rsidRPr="00D10B77" w:rsidRDefault="00FA7999" w:rsidP="0032643D">
            <w:pPr>
              <w:pStyle w:val="BodyTextRight"/>
            </w:pPr>
            <w:r>
              <w:t>Audience/User:</w:t>
            </w:r>
          </w:p>
        </w:tc>
        <w:tc>
          <w:tcPr>
            <w:tcW w:w="8450" w:type="dxa"/>
          </w:tcPr>
          <w:p w14:paraId="1120A3DC" w14:textId="3E16B9F0" w:rsidR="00FA7999" w:rsidRDefault="00B37D7D" w:rsidP="0032643D">
            <w:pPr>
              <w:pStyle w:val="BodyText"/>
            </w:pPr>
            <w:r w:rsidRPr="009C1CC7">
              <w:t>Principal Investigators (PI</w:t>
            </w:r>
            <w:r>
              <w:t>s</w:t>
            </w:r>
            <w:r w:rsidRPr="009C1CC7">
              <w:t xml:space="preserve">), Study Coordinators, </w:t>
            </w:r>
            <w:r>
              <w:t xml:space="preserve">CTRC Staff, </w:t>
            </w:r>
            <w:r w:rsidRPr="009C1CC7">
              <w:t xml:space="preserve">other site </w:t>
            </w:r>
            <w:r w:rsidR="009C49F8">
              <w:t>Research Staff, C</w:t>
            </w:r>
            <w:r w:rsidRPr="009C1CC7">
              <w:t xml:space="preserve">linical </w:t>
            </w:r>
            <w:r w:rsidR="009C49F8">
              <w:t>M</w:t>
            </w:r>
            <w:r w:rsidRPr="009C1CC7">
              <w:t>onitor</w:t>
            </w:r>
            <w:r w:rsidR="009C49F8">
              <w:t>s</w:t>
            </w:r>
            <w:r>
              <w:t xml:space="preserve">. </w:t>
            </w:r>
          </w:p>
          <w:p w14:paraId="77074118" w14:textId="11719708" w:rsidR="00B37D7D" w:rsidRPr="009C1CC7" w:rsidRDefault="00B37D7D" w:rsidP="0032643D">
            <w:pPr>
              <w:pStyle w:val="BodyText"/>
            </w:pPr>
          </w:p>
        </w:tc>
      </w:tr>
      <w:tr w:rsidR="00FA7999" w:rsidRPr="00D10B77" w14:paraId="77074121" w14:textId="77777777" w:rsidTr="00366656">
        <w:tc>
          <w:tcPr>
            <w:tcW w:w="1990" w:type="dxa"/>
          </w:tcPr>
          <w:p w14:paraId="7707411A" w14:textId="2C3AEA31" w:rsidR="00FE7E2B" w:rsidRDefault="00FE7E2B" w:rsidP="0032643D">
            <w:pPr>
              <w:pStyle w:val="BodyTextRight"/>
            </w:pPr>
            <w:r>
              <w:t>Description:</w:t>
            </w:r>
          </w:p>
          <w:p w14:paraId="350A4D38" w14:textId="77777777" w:rsidR="00B37D7D" w:rsidRDefault="00B37D7D" w:rsidP="0032643D">
            <w:pPr>
              <w:pStyle w:val="BodyTextRight"/>
            </w:pPr>
          </w:p>
          <w:p w14:paraId="7707411B" w14:textId="77777777" w:rsidR="00FA7999" w:rsidRDefault="00FE7E2B" w:rsidP="00315613">
            <w:pPr>
              <w:pStyle w:val="BodyTextRight"/>
              <w:jc w:val="left"/>
            </w:pPr>
            <w:r>
              <w:t xml:space="preserve"> </w:t>
            </w:r>
          </w:p>
          <w:p w14:paraId="122B778E" w14:textId="43AAD1C7" w:rsidR="00334EBE" w:rsidRDefault="00334EBE" w:rsidP="0032643D">
            <w:pPr>
              <w:pStyle w:val="BodyTextRight"/>
            </w:pPr>
            <w:r>
              <w:t>Approval:</w:t>
            </w:r>
          </w:p>
          <w:p w14:paraId="289631B8" w14:textId="77777777" w:rsidR="00334EBE" w:rsidRDefault="00334EBE" w:rsidP="0032643D">
            <w:pPr>
              <w:pStyle w:val="BodyTextRight"/>
            </w:pPr>
          </w:p>
          <w:p w14:paraId="24FE1CFD" w14:textId="77777777" w:rsidR="00334EBE" w:rsidRDefault="00334EBE" w:rsidP="0032643D">
            <w:pPr>
              <w:pStyle w:val="BodyTextRight"/>
            </w:pPr>
          </w:p>
          <w:p w14:paraId="7707411C" w14:textId="77777777" w:rsidR="00FE7E2B" w:rsidRDefault="00FE7E2B" w:rsidP="0032643D">
            <w:pPr>
              <w:pStyle w:val="BodyTextRight"/>
            </w:pPr>
            <w:r>
              <w:t>Applicable Protocols</w:t>
            </w:r>
          </w:p>
          <w:p w14:paraId="4B08F918" w14:textId="77777777" w:rsidR="00B37D7D" w:rsidRDefault="00B37D7D" w:rsidP="0032643D">
            <w:pPr>
              <w:pStyle w:val="BodyTextRight"/>
            </w:pPr>
          </w:p>
          <w:p w14:paraId="623746E1" w14:textId="77777777" w:rsidR="00B747A1" w:rsidRDefault="00B747A1" w:rsidP="0032643D">
            <w:pPr>
              <w:pStyle w:val="BodyTextRight"/>
            </w:pPr>
          </w:p>
          <w:p w14:paraId="7DA71202" w14:textId="77777777" w:rsidR="00B747A1" w:rsidRDefault="00B747A1" w:rsidP="0032643D">
            <w:pPr>
              <w:pStyle w:val="BodyTextRight"/>
              <w:rPr>
                <w:sz w:val="16"/>
                <w:szCs w:val="16"/>
              </w:rPr>
            </w:pPr>
          </w:p>
          <w:p w14:paraId="52267088" w14:textId="77777777" w:rsidR="006E5EA6" w:rsidRPr="006E5EA6" w:rsidRDefault="006E5EA6" w:rsidP="0032643D">
            <w:pPr>
              <w:pStyle w:val="BodyTextRight"/>
              <w:rPr>
                <w:sz w:val="16"/>
                <w:szCs w:val="16"/>
              </w:rPr>
            </w:pPr>
          </w:p>
          <w:p w14:paraId="7707411D" w14:textId="77777777" w:rsidR="00FE7E2B" w:rsidRPr="00D10B77" w:rsidRDefault="00FE7E2B" w:rsidP="0032643D">
            <w:pPr>
              <w:pStyle w:val="BodyTextRight"/>
            </w:pPr>
            <w:r>
              <w:t>Timing:</w:t>
            </w:r>
          </w:p>
        </w:tc>
        <w:tc>
          <w:tcPr>
            <w:tcW w:w="8450" w:type="dxa"/>
          </w:tcPr>
          <w:p w14:paraId="2D480D99" w14:textId="7ADFA258" w:rsidR="00B37D7D" w:rsidRDefault="00B37D7D" w:rsidP="00D9437F">
            <w:pPr>
              <w:pStyle w:val="BodyText"/>
            </w:pPr>
            <w:r w:rsidRPr="00284C3F">
              <w:t xml:space="preserve">This SOP should provide a comprehensive guideline to </w:t>
            </w:r>
            <w:r>
              <w:t>the</w:t>
            </w:r>
            <w:r w:rsidRPr="00284C3F">
              <w:t xml:space="preserve"> CT</w:t>
            </w:r>
            <w:r>
              <w:t xml:space="preserve">RC Network, Principal Investigators </w:t>
            </w:r>
            <w:r w:rsidR="009C49F8">
              <w:t xml:space="preserve">and </w:t>
            </w:r>
            <w:r w:rsidR="009C49F8" w:rsidRPr="00284C3F">
              <w:t>Research</w:t>
            </w:r>
            <w:r w:rsidRPr="00284C3F">
              <w:t xml:space="preserve"> </w:t>
            </w:r>
            <w:r>
              <w:t>Teams</w:t>
            </w:r>
            <w:r w:rsidR="00B747A1">
              <w:t xml:space="preserve"> regarding the training of non-credentialed</w:t>
            </w:r>
            <w:r>
              <w:t xml:space="preserve"> personnel</w:t>
            </w:r>
            <w:r w:rsidR="009C49F8">
              <w:t xml:space="preserve">. </w:t>
            </w:r>
          </w:p>
          <w:p w14:paraId="4A0F1E7C" w14:textId="77777777" w:rsidR="00B747A1" w:rsidRDefault="00B747A1" w:rsidP="00B37D7D">
            <w:pPr>
              <w:pStyle w:val="BodyText"/>
            </w:pPr>
          </w:p>
          <w:p w14:paraId="492C798D" w14:textId="67DC075F" w:rsidR="00334EBE" w:rsidRDefault="00334EBE" w:rsidP="00B37D7D">
            <w:pPr>
              <w:pStyle w:val="BodyText"/>
            </w:pPr>
            <w:r>
              <w:t xml:space="preserve">The Training and Competency SOPs that are developed by each CTRC must be approved by the applicable Institution, the CTRC Medical Director for that site, and the CTRC Network Director prior to implementation. </w:t>
            </w:r>
          </w:p>
          <w:p w14:paraId="4324D301" w14:textId="77777777" w:rsidR="00334EBE" w:rsidRDefault="00334EBE" w:rsidP="00B37D7D">
            <w:pPr>
              <w:pStyle w:val="BodyText"/>
            </w:pPr>
          </w:p>
          <w:p w14:paraId="787C7582" w14:textId="69769D33" w:rsidR="00B747A1" w:rsidRPr="006E5EA6" w:rsidRDefault="00B747A1" w:rsidP="00B37D7D">
            <w:pPr>
              <w:pStyle w:val="BodyText"/>
            </w:pPr>
            <w:r w:rsidRPr="006E5EA6">
              <w:t xml:space="preserve">The </w:t>
            </w:r>
            <w:r w:rsidR="004C5F11">
              <w:t xml:space="preserve">verification </w:t>
            </w:r>
            <w:r w:rsidRPr="006E5EA6">
              <w:t xml:space="preserve">of the specific competency must be completed prior to the trainee performing </w:t>
            </w:r>
            <w:r w:rsidR="00B9729A" w:rsidRPr="006E5EA6">
              <w:t xml:space="preserve">the specific </w:t>
            </w:r>
            <w:r w:rsidR="00B356DF">
              <w:t>research</w:t>
            </w:r>
            <w:r w:rsidR="00B9729A" w:rsidRPr="006E5EA6">
              <w:t xml:space="preserve"> procedure or task. </w:t>
            </w:r>
          </w:p>
          <w:p w14:paraId="5CFF490E" w14:textId="77777777" w:rsidR="00B37D7D" w:rsidRPr="006E5EA6" w:rsidRDefault="00B37D7D" w:rsidP="00B37D7D">
            <w:pPr>
              <w:pStyle w:val="BodyText"/>
            </w:pPr>
            <w:r w:rsidRPr="006E5EA6">
              <w:t xml:space="preserve">The protocol must be an active CTRC Protocol. </w:t>
            </w:r>
          </w:p>
          <w:p w14:paraId="3B1E29A6" w14:textId="09EA92D3" w:rsidR="00B747A1" w:rsidRPr="006E5EA6" w:rsidRDefault="00B747A1" w:rsidP="00B37D7D">
            <w:pPr>
              <w:pStyle w:val="BodyText"/>
            </w:pPr>
            <w:r w:rsidRPr="006E5EA6">
              <w:t xml:space="preserve">The </w:t>
            </w:r>
            <w:r w:rsidR="00865072" w:rsidRPr="006E5EA6">
              <w:t xml:space="preserve">task or </w:t>
            </w:r>
            <w:r w:rsidR="00B356DF">
              <w:t xml:space="preserve">research </w:t>
            </w:r>
            <w:r w:rsidR="00865072" w:rsidRPr="006E5EA6">
              <w:t xml:space="preserve">procedure </w:t>
            </w:r>
            <w:r w:rsidR="00B356DF">
              <w:t>may only be performed within</w:t>
            </w:r>
            <w:r w:rsidRPr="006E5EA6">
              <w:t xml:space="preserve"> CTRC </w:t>
            </w:r>
            <w:r w:rsidR="000B763B">
              <w:t xml:space="preserve">Facility </w:t>
            </w:r>
            <w:r w:rsidRPr="006E5EA6">
              <w:t xml:space="preserve">Space. </w:t>
            </w:r>
          </w:p>
          <w:p w14:paraId="7CCAFC5E" w14:textId="77777777" w:rsidR="00B37D7D" w:rsidRPr="006E5EA6" w:rsidRDefault="00B37D7D" w:rsidP="00B37D7D">
            <w:pPr>
              <w:pStyle w:val="BodyText"/>
            </w:pPr>
            <w:r w:rsidRPr="006E5EA6">
              <w:t xml:space="preserve"> </w:t>
            </w:r>
          </w:p>
          <w:p w14:paraId="5EAC7017" w14:textId="372E739A" w:rsidR="00B37D7D" w:rsidRDefault="00B37D7D" w:rsidP="00B37D7D">
            <w:pPr>
              <w:pStyle w:val="BodyText"/>
            </w:pPr>
            <w:r>
              <w:t>The verification of the non-</w:t>
            </w:r>
            <w:r w:rsidR="00B356DF">
              <w:t>credentialed</w:t>
            </w:r>
            <w:r>
              <w:t xml:space="preserve"> personnel’s </w:t>
            </w:r>
            <w:r w:rsidR="009C49F8">
              <w:t>training must</w:t>
            </w:r>
            <w:r>
              <w:t xml:space="preserve"> be documented pri</w:t>
            </w:r>
            <w:r w:rsidR="009C49F8">
              <w:t xml:space="preserve">or to </w:t>
            </w:r>
            <w:r w:rsidR="006E5EA6">
              <w:t xml:space="preserve">performing the </w:t>
            </w:r>
            <w:r w:rsidR="00B356DF">
              <w:t>research</w:t>
            </w:r>
            <w:r w:rsidR="006E5EA6">
              <w:t xml:space="preserve"> procedure or task </w:t>
            </w:r>
            <w:r w:rsidR="009C49F8">
              <w:t xml:space="preserve">with Research Participants. </w:t>
            </w:r>
            <w:r>
              <w:t xml:space="preserve"> </w:t>
            </w:r>
          </w:p>
          <w:p w14:paraId="5CB0F255" w14:textId="69DFFFF7" w:rsidR="00865072" w:rsidRDefault="00B9729A" w:rsidP="00B37D7D">
            <w:pPr>
              <w:pStyle w:val="BodyText"/>
            </w:pPr>
            <w:r>
              <w:t xml:space="preserve">Once training </w:t>
            </w:r>
            <w:r w:rsidR="006E5EA6">
              <w:t xml:space="preserve">is complete </w:t>
            </w:r>
            <w:r>
              <w:t>and demonstration of competency has occurred, the trainee will be allowed to con</w:t>
            </w:r>
            <w:r w:rsidR="00865072">
              <w:t>duct that specific activity within that CTRC location</w:t>
            </w:r>
            <w:r w:rsidR="00B356DF">
              <w:t xml:space="preserve"> only</w:t>
            </w:r>
            <w:r w:rsidR="00865072">
              <w:t xml:space="preserve">. </w:t>
            </w:r>
            <w:r w:rsidR="00B356DF">
              <w:t xml:space="preserve"> If the procedure is to be performed at other CTRC sites, additional site-specific competencies and verifications must be performed at each site. </w:t>
            </w:r>
          </w:p>
          <w:p w14:paraId="77074120" w14:textId="72F6C742" w:rsidR="00B9729A" w:rsidRPr="009C1CC7" w:rsidRDefault="00B9729A" w:rsidP="00B37D7D">
            <w:pPr>
              <w:pStyle w:val="BodyText"/>
            </w:pPr>
            <w:r>
              <w:t xml:space="preserve"> </w:t>
            </w:r>
          </w:p>
        </w:tc>
      </w:tr>
      <w:tr w:rsidR="00FA7999" w:rsidRPr="00D10B77" w14:paraId="7707412E" w14:textId="77777777" w:rsidTr="00366656">
        <w:tc>
          <w:tcPr>
            <w:tcW w:w="1990" w:type="dxa"/>
          </w:tcPr>
          <w:p w14:paraId="77074122" w14:textId="76BFABC5" w:rsidR="00DD4D47" w:rsidRDefault="00FA7999" w:rsidP="0032643D">
            <w:pPr>
              <w:pStyle w:val="BodyTextRight"/>
            </w:pPr>
            <w:r>
              <w:lastRenderedPageBreak/>
              <w:t>Best Practice Recommendations:</w:t>
            </w:r>
          </w:p>
          <w:p w14:paraId="026AEEBE" w14:textId="77777777" w:rsidR="00DD4D47" w:rsidRPr="00DD4D47" w:rsidRDefault="00DD4D47" w:rsidP="00DD4D47"/>
          <w:p w14:paraId="00646D60" w14:textId="77777777" w:rsidR="00DD4D47" w:rsidRPr="00DD4D47" w:rsidRDefault="00DD4D47" w:rsidP="00DD4D47"/>
          <w:p w14:paraId="3F42E479" w14:textId="77777777" w:rsidR="00DD4D47" w:rsidRPr="00DD4D47" w:rsidRDefault="00DD4D47" w:rsidP="00DD4D47"/>
          <w:p w14:paraId="38315AA9" w14:textId="77777777" w:rsidR="00DD4D47" w:rsidRPr="00DD4D47" w:rsidRDefault="00DD4D47" w:rsidP="00DD4D47"/>
          <w:p w14:paraId="580A4480" w14:textId="77777777" w:rsidR="00DD4D47" w:rsidRPr="00DD4D47" w:rsidRDefault="00DD4D47" w:rsidP="00DD4D47"/>
          <w:p w14:paraId="29694DAC" w14:textId="77777777" w:rsidR="00DD4D47" w:rsidRPr="00DD4D47" w:rsidRDefault="00DD4D47" w:rsidP="00DD4D47"/>
          <w:p w14:paraId="66C9E972" w14:textId="77777777" w:rsidR="00DD4D47" w:rsidRPr="00DD4D47" w:rsidRDefault="00DD4D47" w:rsidP="00DD4D47"/>
          <w:p w14:paraId="059DF507" w14:textId="77777777" w:rsidR="00DD4D47" w:rsidRPr="00DD4D47" w:rsidRDefault="00DD4D47" w:rsidP="00DD4D47"/>
          <w:p w14:paraId="4A983851" w14:textId="77777777" w:rsidR="00DD4D47" w:rsidRPr="00DD4D47" w:rsidRDefault="00DD4D47" w:rsidP="00DD4D47"/>
          <w:p w14:paraId="64751949" w14:textId="77777777" w:rsidR="00DD4D47" w:rsidRPr="00DD4D47" w:rsidRDefault="00DD4D47" w:rsidP="00DD4D47"/>
          <w:p w14:paraId="238458C5" w14:textId="4CB55B1C" w:rsidR="00FA7999" w:rsidRPr="00DD4D47" w:rsidRDefault="00FA7999" w:rsidP="00DD4D47">
            <w:pPr>
              <w:jc w:val="center"/>
            </w:pPr>
          </w:p>
        </w:tc>
        <w:tc>
          <w:tcPr>
            <w:tcW w:w="8450" w:type="dxa"/>
          </w:tcPr>
          <w:p w14:paraId="77074123" w14:textId="1A72DCA2" w:rsidR="00FA7999" w:rsidRPr="006E5EA6" w:rsidRDefault="009C49F8" w:rsidP="00FB63DB">
            <w:pPr>
              <w:pStyle w:val="ListBullet"/>
            </w:pPr>
            <w:r w:rsidRPr="006E5EA6">
              <w:t xml:space="preserve">Each CTRC </w:t>
            </w:r>
            <w:r w:rsidR="000F3DBD" w:rsidRPr="006E5EA6">
              <w:t xml:space="preserve">site </w:t>
            </w:r>
            <w:r w:rsidR="00B747A1" w:rsidRPr="006E5EA6">
              <w:t>may</w:t>
            </w:r>
            <w:r w:rsidRPr="006E5EA6">
              <w:t xml:space="preserve"> offer training to non-licensed personnel who assist the Research Team with the implem</w:t>
            </w:r>
            <w:r w:rsidR="009F32CC" w:rsidRPr="006E5EA6">
              <w:t xml:space="preserve">entation of Research Protocols. </w:t>
            </w:r>
            <w:r w:rsidR="00FB63DB">
              <w:t>Adequate records for training and competencies should be maintained, with follow-up training and documentation of competencies as necessary.</w:t>
            </w:r>
          </w:p>
          <w:p w14:paraId="224938EC" w14:textId="12643B22" w:rsidR="009F32CC" w:rsidRPr="006E5EA6" w:rsidRDefault="009F32CC" w:rsidP="0032643D">
            <w:pPr>
              <w:pStyle w:val="ListBullet"/>
            </w:pPr>
            <w:r w:rsidRPr="006E5EA6">
              <w:t xml:space="preserve">Each </w:t>
            </w:r>
            <w:r w:rsidR="00DD4D47" w:rsidRPr="006E5EA6">
              <w:t xml:space="preserve">CTRC </w:t>
            </w:r>
            <w:r w:rsidRPr="006E5EA6">
              <w:t xml:space="preserve">site will determine </w:t>
            </w:r>
            <w:r w:rsidR="00B356DF">
              <w:t>which personnel are required to</w:t>
            </w:r>
            <w:r w:rsidRPr="006E5EA6">
              <w:t xml:space="preserve"> be trained according to their</w:t>
            </w:r>
            <w:r w:rsidR="00B9729A" w:rsidRPr="006E5EA6">
              <w:t xml:space="preserve"> appropriate scope of practice and the requirements for competency for each individual procedure. </w:t>
            </w:r>
          </w:p>
          <w:p w14:paraId="087CCBF1" w14:textId="4386F35D" w:rsidR="000F3DBD" w:rsidRPr="006E5EA6" w:rsidRDefault="000F3DBD" w:rsidP="00FB63DB">
            <w:pPr>
              <w:pStyle w:val="ListBullet"/>
            </w:pPr>
            <w:r w:rsidRPr="006E5EA6">
              <w:t xml:space="preserve">Each CTRC site will develop </w:t>
            </w:r>
            <w:r w:rsidR="00B9729A" w:rsidRPr="006E5EA6">
              <w:t xml:space="preserve">training requirements to demonstrate competencies for each individual procedure and the approach to assess competency. </w:t>
            </w:r>
            <w:r w:rsidR="00101669" w:rsidRPr="006E5EA6">
              <w:t xml:space="preserve"> </w:t>
            </w:r>
            <w:r w:rsidR="00FB63DB">
              <w:t>The training should be consistent with the site’s institutional policies and procedures, as well as current best practices.</w:t>
            </w:r>
          </w:p>
          <w:p w14:paraId="7815341C" w14:textId="5E2DA696" w:rsidR="00101669" w:rsidRPr="006E5EA6" w:rsidRDefault="00101669" w:rsidP="000F3DBD">
            <w:pPr>
              <w:pStyle w:val="ListBullet"/>
            </w:pPr>
            <w:r w:rsidRPr="006E5EA6">
              <w:t xml:space="preserve">The Study Physician for the Protocol is </w:t>
            </w:r>
            <w:r w:rsidR="00B356DF">
              <w:t xml:space="preserve">directly </w:t>
            </w:r>
            <w:r w:rsidRPr="006E5EA6">
              <w:t>responsible for the non-</w:t>
            </w:r>
            <w:r w:rsidR="00B747A1" w:rsidRPr="006E5EA6">
              <w:t>credentialed</w:t>
            </w:r>
            <w:r w:rsidRPr="006E5EA6">
              <w:t xml:space="preserve"> personnel who are p</w:t>
            </w:r>
            <w:r w:rsidR="002C3DB5" w:rsidRPr="006E5EA6">
              <w:t xml:space="preserve">erforming the designated tasks for </w:t>
            </w:r>
            <w:r w:rsidR="00B747A1" w:rsidRPr="006E5EA6">
              <w:t>his/her</w:t>
            </w:r>
            <w:r w:rsidR="002C3DB5" w:rsidRPr="006E5EA6">
              <w:t xml:space="preserve"> study. </w:t>
            </w:r>
          </w:p>
          <w:p w14:paraId="592A8590" w14:textId="4F12B7FA" w:rsidR="00311325" w:rsidRDefault="006E5EA6" w:rsidP="005850C5">
            <w:pPr>
              <w:pStyle w:val="ListBullet"/>
            </w:pPr>
            <w:r>
              <w:t>Each non-credentialed</w:t>
            </w:r>
            <w:r w:rsidR="009C49F8" w:rsidRPr="006E5EA6">
              <w:t xml:space="preserve"> personnel must be deemed </w:t>
            </w:r>
            <w:r w:rsidR="000F3DBD" w:rsidRPr="006E5EA6">
              <w:t>“C</w:t>
            </w:r>
            <w:r w:rsidR="009C49F8" w:rsidRPr="006E5EA6">
              <w:t>ompetent</w:t>
            </w:r>
            <w:r w:rsidR="000F3DBD" w:rsidRPr="006E5EA6">
              <w:t xml:space="preserve">” to perform each designated task per </w:t>
            </w:r>
            <w:r w:rsidR="009C49F8" w:rsidRPr="006E5EA6">
              <w:t xml:space="preserve">CTRC competencies. </w:t>
            </w:r>
          </w:p>
          <w:p w14:paraId="0FACE171" w14:textId="25BF63A3" w:rsidR="001162FB" w:rsidRDefault="001162FB" w:rsidP="005850C5">
            <w:pPr>
              <w:pStyle w:val="ListBullet"/>
            </w:pPr>
            <w:r>
              <w:t xml:space="preserve">The Training and Competency SOPs that are developed by each CTRC will require sign off by the CTRC Medical Director for that site </w:t>
            </w:r>
            <w:r w:rsidR="00A540FC">
              <w:t xml:space="preserve">in addition to </w:t>
            </w:r>
            <w:r>
              <w:t xml:space="preserve">the CTRC Network Director. </w:t>
            </w:r>
          </w:p>
          <w:p w14:paraId="39637F10" w14:textId="68F2CD12" w:rsidR="001162FB" w:rsidRPr="006E5EA6" w:rsidRDefault="001162FB" w:rsidP="005850C5">
            <w:pPr>
              <w:pStyle w:val="ListBullet"/>
            </w:pPr>
            <w:r>
              <w:t xml:space="preserve">The Training and Competency SOPs that are developed will also require approval from their Institution. </w:t>
            </w:r>
          </w:p>
          <w:p w14:paraId="31B7EAD1" w14:textId="6B1AF212" w:rsidR="00DD4D47" w:rsidRDefault="00DD4D47" w:rsidP="005850C5">
            <w:pPr>
              <w:pStyle w:val="ListBullet"/>
            </w:pPr>
            <w:r>
              <w:t xml:space="preserve">Once </w:t>
            </w:r>
            <w:r w:rsidR="004616DC">
              <w:t>training and demonstration of competency is complete</w:t>
            </w:r>
            <w:r w:rsidR="00623CD9">
              <w:t>d</w:t>
            </w:r>
            <w:r>
              <w:t>, the non-</w:t>
            </w:r>
            <w:r w:rsidR="00F879D7">
              <w:t>credentialed</w:t>
            </w:r>
            <w:r>
              <w:t xml:space="preserve"> personnel may independently implement the </w:t>
            </w:r>
            <w:r w:rsidR="00B356DF">
              <w:t>research procedure</w:t>
            </w:r>
            <w:r w:rsidR="00623CD9">
              <w:t xml:space="preserve"> on the CTRC</w:t>
            </w:r>
            <w:r>
              <w:t xml:space="preserve">, however, </w:t>
            </w:r>
          </w:p>
          <w:p w14:paraId="7DA5BDC9" w14:textId="254A048B" w:rsidR="00DD4D47" w:rsidRDefault="00DD4D47" w:rsidP="00DD4D47">
            <w:pPr>
              <w:pStyle w:val="ListBullet"/>
              <w:numPr>
                <w:ilvl w:val="0"/>
                <w:numId w:val="6"/>
              </w:numPr>
            </w:pPr>
            <w:r>
              <w:t xml:space="preserve">The </w:t>
            </w:r>
            <w:r w:rsidR="00623CD9">
              <w:t xml:space="preserve">research procedure may only be performed as part of an active research </w:t>
            </w:r>
            <w:r>
              <w:t xml:space="preserve">protocol </w:t>
            </w:r>
            <w:r w:rsidR="00623CD9">
              <w:t>on</w:t>
            </w:r>
            <w:r>
              <w:t xml:space="preserve"> the CTRC</w:t>
            </w:r>
          </w:p>
          <w:p w14:paraId="79484724" w14:textId="070F57F0" w:rsidR="00DD4D47" w:rsidRPr="009F32CC" w:rsidRDefault="00DD4D47" w:rsidP="00DD4D47">
            <w:pPr>
              <w:pStyle w:val="ListBullet"/>
              <w:numPr>
                <w:ilvl w:val="0"/>
                <w:numId w:val="6"/>
              </w:numPr>
            </w:pPr>
            <w:r>
              <w:t xml:space="preserve">The research </w:t>
            </w:r>
            <w:r w:rsidR="00B356DF">
              <w:t xml:space="preserve">procedure </w:t>
            </w:r>
            <w:r w:rsidR="00623CD9">
              <w:t>may only be</w:t>
            </w:r>
            <w:r>
              <w:t xml:space="preserve"> conducted within the CTRC </w:t>
            </w:r>
            <w:r w:rsidR="000B763B">
              <w:t xml:space="preserve">Facility </w:t>
            </w:r>
            <w:r>
              <w:t xml:space="preserve">Space. </w:t>
            </w:r>
          </w:p>
          <w:p w14:paraId="7707412D" w14:textId="053E9151" w:rsidR="0089535E" w:rsidRPr="009C1CC7" w:rsidRDefault="0089535E" w:rsidP="006E5EA6">
            <w:pPr>
              <w:pStyle w:val="BodyText"/>
            </w:pPr>
          </w:p>
        </w:tc>
      </w:tr>
    </w:tbl>
    <w:p w14:paraId="77074143" w14:textId="6E198741" w:rsidR="00FA7999" w:rsidRPr="00BC25A4" w:rsidRDefault="00FA7999" w:rsidP="00FA7999">
      <w:pPr>
        <w:pStyle w:val="Heading1"/>
      </w:pPr>
    </w:p>
    <w:p w14:paraId="770741C2" w14:textId="77777777" w:rsidR="005A6F92" w:rsidRPr="005A6F92" w:rsidRDefault="005A6F92" w:rsidP="008A14D2">
      <w:pPr>
        <w:tabs>
          <w:tab w:val="left" w:pos="2670"/>
        </w:tabs>
        <w:spacing w:before="40" w:after="0" w:line="220" w:lineRule="exact"/>
        <w:ind w:left="-180" w:right="-86"/>
        <w:rPr>
          <w:rFonts w:ascii="Arial Narrow" w:hAnsi="Arial Narrow"/>
        </w:rPr>
      </w:pPr>
    </w:p>
    <w:p w14:paraId="770741D5" w14:textId="77777777" w:rsidR="00311325" w:rsidRPr="00BC25A4" w:rsidRDefault="00311325" w:rsidP="00311325">
      <w:pPr>
        <w:pStyle w:val="Heading1"/>
      </w:pPr>
    </w:p>
    <w:p w14:paraId="770741DD" w14:textId="07B3B7B9" w:rsidR="00311325" w:rsidRDefault="00311325" w:rsidP="00311325">
      <w:pPr>
        <w:pStyle w:val="BodyText2"/>
        <w:rPr>
          <w:rFonts w:ascii="Arial Narrow" w:hAnsi="Arial Narrow"/>
          <w:color w:val="FF0000"/>
        </w:rPr>
      </w:pPr>
    </w:p>
    <w:p w14:paraId="770741E4" w14:textId="77777777" w:rsidR="0041516A" w:rsidRDefault="0041516A" w:rsidP="00311325">
      <w:pPr>
        <w:pStyle w:val="BodyText2"/>
        <w:rPr>
          <w:b/>
        </w:rPr>
      </w:pPr>
    </w:p>
    <w:p w14:paraId="77074235" w14:textId="59E1C8C1" w:rsidR="00BC58C3" w:rsidRDefault="00BC58C3" w:rsidP="0041516A">
      <w:pPr>
        <w:pStyle w:val="BodyText2"/>
        <w:rPr>
          <w:b/>
        </w:rPr>
      </w:pPr>
    </w:p>
    <w:p w14:paraId="45DF6868" w14:textId="77777777" w:rsidR="00311325" w:rsidRPr="008B6962" w:rsidRDefault="00311325" w:rsidP="008B6962"/>
    <w:sectPr w:rsidR="00311325" w:rsidRPr="008B6962" w:rsidSect="009F32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25E4" w14:textId="77777777" w:rsidR="00B33BC4" w:rsidRDefault="00B33BC4" w:rsidP="00110676">
      <w:pPr>
        <w:spacing w:after="0" w:line="240" w:lineRule="auto"/>
      </w:pPr>
      <w:r>
        <w:separator/>
      </w:r>
    </w:p>
  </w:endnote>
  <w:endnote w:type="continuationSeparator" w:id="0">
    <w:p w14:paraId="52D42271" w14:textId="77777777" w:rsidR="00B33BC4" w:rsidRDefault="00B33BC4" w:rsidP="0011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A11A" w14:textId="77777777" w:rsidR="006F08CA" w:rsidRDefault="006F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22B8" w14:textId="57AFD780" w:rsidR="00334EBE" w:rsidRDefault="004A783F" w:rsidP="002A168E">
    <w:pPr>
      <w:pStyle w:val="Footer"/>
      <w:tabs>
        <w:tab w:val="clear" w:pos="4680"/>
        <w:tab w:val="center" w:pos="6480"/>
      </w:tabs>
      <w:ind w:left="-720" w:right="-630"/>
      <w:rPr>
        <w:sz w:val="20"/>
        <w:szCs w:val="20"/>
      </w:rPr>
    </w:pPr>
    <w:r>
      <w:rPr>
        <w:sz w:val="20"/>
        <w:szCs w:val="20"/>
      </w:rPr>
      <w:t xml:space="preserve">Created </w:t>
    </w:r>
    <w:proofErr w:type="spellStart"/>
    <w:r>
      <w:rPr>
        <w:sz w:val="20"/>
        <w:szCs w:val="20"/>
      </w:rPr>
      <w:t>by</w:t>
    </w:r>
    <w:proofErr w:type="gramStart"/>
    <w:r>
      <w:rPr>
        <w:sz w:val="20"/>
        <w:szCs w:val="20"/>
      </w:rPr>
      <w:t>:BranhamD</w:t>
    </w:r>
    <w:proofErr w:type="spellEnd"/>
    <w:proofErr w:type="gramEnd"/>
    <w:r>
      <w:rPr>
        <w:sz w:val="20"/>
        <w:szCs w:val="20"/>
      </w:rPr>
      <w:t xml:space="preserve">     </w:t>
    </w:r>
    <w:r w:rsidR="00DD4D47">
      <w:rPr>
        <w:sz w:val="20"/>
        <w:szCs w:val="20"/>
      </w:rPr>
      <w:t xml:space="preserve">          </w:t>
    </w:r>
    <w:r>
      <w:rPr>
        <w:sz w:val="20"/>
        <w:szCs w:val="20"/>
      </w:rPr>
      <w:t xml:space="preserve">  </w:t>
    </w:r>
    <w:r w:rsidR="009C49F8">
      <w:rPr>
        <w:sz w:val="20"/>
        <w:szCs w:val="20"/>
      </w:rPr>
      <w:t xml:space="preserve"> </w:t>
    </w:r>
    <w:r>
      <w:rPr>
        <w:sz w:val="20"/>
        <w:szCs w:val="20"/>
      </w:rPr>
      <w:t>Approved by: Campbell,</w:t>
    </w:r>
    <w:r w:rsidR="00922286">
      <w:rPr>
        <w:sz w:val="20"/>
        <w:szCs w:val="20"/>
      </w:rPr>
      <w:t xml:space="preserve"> </w:t>
    </w:r>
    <w:r>
      <w:rPr>
        <w:sz w:val="20"/>
        <w:szCs w:val="20"/>
      </w:rPr>
      <w:t>T and Kohrt, W</w:t>
    </w:r>
    <w:r w:rsidR="009C49F8">
      <w:rPr>
        <w:sz w:val="20"/>
        <w:szCs w:val="20"/>
      </w:rPr>
      <w:t>, Higgins, J</w:t>
    </w:r>
    <w:r w:rsidR="009C49F8">
      <w:rPr>
        <w:sz w:val="20"/>
        <w:szCs w:val="20"/>
      </w:rPr>
      <w:tab/>
    </w:r>
    <w:r w:rsidR="009C49F8">
      <w:rPr>
        <w:sz w:val="20"/>
        <w:szCs w:val="20"/>
      </w:rPr>
      <w:tab/>
    </w:r>
    <w:r w:rsidR="00B747A1">
      <w:rPr>
        <w:sz w:val="20"/>
        <w:szCs w:val="20"/>
      </w:rPr>
      <w:t>5/1/2017</w:t>
    </w:r>
  </w:p>
  <w:p w14:paraId="7AD24B2A" w14:textId="1C98796F" w:rsidR="00922286" w:rsidRDefault="00334EBE" w:rsidP="00215B4B">
    <w:pPr>
      <w:pStyle w:val="Footer"/>
      <w:tabs>
        <w:tab w:val="clear" w:pos="4680"/>
        <w:tab w:val="center" w:pos="6480"/>
      </w:tabs>
      <w:ind w:left="-720" w:right="-630"/>
      <w:jc w:val="both"/>
      <w:rPr>
        <w:sz w:val="20"/>
        <w:szCs w:val="20"/>
      </w:rPr>
    </w:pPr>
    <w:r>
      <w:rPr>
        <w:sz w:val="20"/>
        <w:szCs w:val="20"/>
      </w:rPr>
      <w:t xml:space="preserve">Approved by: Lakin, A., Kohrt, W., Campbell, T., Lovett, K.  </w:t>
    </w:r>
    <w:r w:rsidR="009C49F8">
      <w:rPr>
        <w:sz w:val="20"/>
        <w:szCs w:val="20"/>
      </w:rPr>
      <w:tab/>
    </w:r>
    <w:r>
      <w:rPr>
        <w:sz w:val="20"/>
        <w:szCs w:val="20"/>
      </w:rPr>
      <w:t xml:space="preserve">                                                                                                     5/26/2017</w:t>
    </w:r>
  </w:p>
  <w:p w14:paraId="5FC4BA36" w14:textId="77777777" w:rsidR="000B763B" w:rsidRDefault="00922286" w:rsidP="00215B4B">
    <w:pPr>
      <w:pStyle w:val="Footer"/>
      <w:tabs>
        <w:tab w:val="clear" w:pos="4680"/>
        <w:tab w:val="center" w:pos="6480"/>
      </w:tabs>
      <w:ind w:left="-720" w:right="-630"/>
      <w:jc w:val="both"/>
      <w:rPr>
        <w:sz w:val="20"/>
        <w:szCs w:val="20"/>
      </w:rPr>
    </w:pPr>
    <w:r>
      <w:rPr>
        <w:sz w:val="20"/>
        <w:szCs w:val="20"/>
      </w:rPr>
      <w:t xml:space="preserve">Approved by: Jo Anne DelMonte, UCH Professional Development                                                                                         6/7/2017 </w:t>
    </w:r>
  </w:p>
  <w:p w14:paraId="6DEA564D" w14:textId="77777777" w:rsidR="006F08CA" w:rsidRDefault="000B763B" w:rsidP="00215B4B">
    <w:pPr>
      <w:pStyle w:val="Footer"/>
      <w:tabs>
        <w:tab w:val="clear" w:pos="4680"/>
        <w:tab w:val="center" w:pos="6480"/>
      </w:tabs>
      <w:ind w:left="-720" w:right="-630"/>
      <w:jc w:val="both"/>
      <w:rPr>
        <w:sz w:val="20"/>
        <w:szCs w:val="20"/>
      </w:rPr>
    </w:pPr>
    <w:r>
      <w:rPr>
        <w:sz w:val="20"/>
        <w:szCs w:val="20"/>
      </w:rPr>
      <w:t>Approved by: Ron Sokol-Director of CCTSI</w:t>
    </w:r>
    <w:r w:rsidR="00FA7999" w:rsidRPr="0085254E">
      <w:rPr>
        <w:sz w:val="20"/>
        <w:szCs w:val="20"/>
      </w:rPr>
      <w:tab/>
    </w:r>
    <w:r>
      <w:rPr>
        <w:sz w:val="20"/>
        <w:szCs w:val="20"/>
      </w:rPr>
      <w:t xml:space="preserve">                                                                                                               6/06/2017</w:t>
    </w:r>
  </w:p>
  <w:p w14:paraId="263FFA39" w14:textId="3CEFE24F" w:rsidR="00BC58C3" w:rsidRDefault="006F08CA" w:rsidP="00215B4B">
    <w:pPr>
      <w:pStyle w:val="Footer"/>
      <w:tabs>
        <w:tab w:val="clear" w:pos="4680"/>
        <w:tab w:val="center" w:pos="6480"/>
      </w:tabs>
      <w:ind w:left="-720" w:right="-630"/>
      <w:jc w:val="both"/>
      <w:rPr>
        <w:sz w:val="20"/>
        <w:szCs w:val="20"/>
      </w:rPr>
    </w:pPr>
    <w:r>
      <w:rPr>
        <w:sz w:val="20"/>
        <w:szCs w:val="20"/>
      </w:rPr>
      <w:t xml:space="preserve">Approved by: Zeitler, P, Hay, W, Leung, D, Stauffer, B, </w:t>
    </w:r>
    <w:proofErr w:type="spellStart"/>
    <w:r>
      <w:rPr>
        <w:sz w:val="20"/>
        <w:szCs w:val="20"/>
      </w:rPr>
      <w:t>DeSouza</w:t>
    </w:r>
    <w:proofErr w:type="spellEnd"/>
    <w:r>
      <w:rPr>
        <w:sz w:val="20"/>
        <w:szCs w:val="20"/>
      </w:rPr>
      <w:t>, C.                                                                                       6/30/2017</w:t>
    </w:r>
    <w:r w:rsidR="00FA7999">
      <w:rPr>
        <w:sz w:val="20"/>
        <w:szCs w:val="20"/>
      </w:rPr>
      <w:tab/>
    </w:r>
  </w:p>
  <w:p w14:paraId="7707423D" w14:textId="79EEA62A" w:rsidR="00FA7999" w:rsidRDefault="00FA7999" w:rsidP="00215B4B">
    <w:pPr>
      <w:pStyle w:val="Footer"/>
      <w:tabs>
        <w:tab w:val="clear" w:pos="4680"/>
        <w:tab w:val="center" w:pos="6480"/>
      </w:tabs>
      <w:ind w:left="-720" w:right="-630"/>
      <w:jc w:val="both"/>
      <w:rPr>
        <w:b/>
        <w:sz w:val="20"/>
        <w:szCs w:val="20"/>
      </w:rPr>
    </w:pPr>
    <w:r w:rsidRPr="00F14546">
      <w:rPr>
        <w:sz w:val="20"/>
      </w:rPr>
      <w:tab/>
    </w:r>
  </w:p>
  <w:p w14:paraId="7707423E" w14:textId="669643C3" w:rsidR="00FA7999" w:rsidRPr="00F14546" w:rsidRDefault="00FA7999" w:rsidP="00F14546">
    <w:pPr>
      <w:pStyle w:val="Footer"/>
      <w:tabs>
        <w:tab w:val="center" w:pos="6480"/>
        <w:tab w:val="left" w:pos="12960"/>
      </w:tabs>
      <w:ind w:right="-720"/>
      <w:jc w:val="right"/>
      <w:rPr>
        <w:sz w:val="20"/>
      </w:rPr>
    </w:pPr>
    <w:r>
      <w:rPr>
        <w:sz w:val="20"/>
        <w:szCs w:val="20"/>
      </w:rPr>
      <w:t xml:space="preserve">  </w:t>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4241" w14:textId="77777777" w:rsidR="00FA7999" w:rsidRDefault="00FA799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37D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00563">
      <w:rPr>
        <w:b/>
        <w:noProof/>
      </w:rPr>
      <w:t>2</w:t>
    </w:r>
    <w:r>
      <w:rPr>
        <w:b/>
        <w:sz w:val="24"/>
        <w:szCs w:val="24"/>
      </w:rPr>
      <w:fldChar w:fldCharType="end"/>
    </w:r>
  </w:p>
  <w:p w14:paraId="77074242" w14:textId="77777777" w:rsidR="00FA7999" w:rsidRDefault="00FA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2A97" w14:textId="77777777" w:rsidR="00B33BC4" w:rsidRDefault="00B33BC4" w:rsidP="00110676">
      <w:pPr>
        <w:spacing w:after="0" w:line="240" w:lineRule="auto"/>
      </w:pPr>
      <w:r>
        <w:separator/>
      </w:r>
    </w:p>
  </w:footnote>
  <w:footnote w:type="continuationSeparator" w:id="0">
    <w:p w14:paraId="470ACC98" w14:textId="77777777" w:rsidR="00B33BC4" w:rsidRDefault="00B33BC4" w:rsidP="0011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C77A" w14:textId="77777777" w:rsidR="006F08CA" w:rsidRDefault="006F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423A" w14:textId="2EFB2EF0" w:rsidR="005A232A" w:rsidRPr="002D2F1A" w:rsidRDefault="005A232A" w:rsidP="005A232A">
    <w:pPr>
      <w:pStyle w:val="Header"/>
      <w:rPr>
        <w:b/>
        <w:sz w:val="32"/>
        <w:szCs w:val="32"/>
      </w:rPr>
    </w:pPr>
    <w:r>
      <w:rPr>
        <w:b/>
        <w:sz w:val="32"/>
        <w:szCs w:val="32"/>
      </w:rPr>
      <w:t xml:space="preserve">CTRC </w:t>
    </w:r>
    <w:r w:rsidRPr="002D2F1A">
      <w:rPr>
        <w:b/>
        <w:sz w:val="32"/>
        <w:szCs w:val="32"/>
      </w:rPr>
      <w:t>STANDARD OPERATING PROCEDURE</w:t>
    </w:r>
  </w:p>
  <w:p w14:paraId="7707423B" w14:textId="637E73A2" w:rsidR="005A232A" w:rsidRDefault="005A232A" w:rsidP="00512D68">
    <w:pPr>
      <w:pStyle w:val="Header"/>
      <w:ind w:left="720"/>
    </w:pPr>
    <w:r>
      <w:rPr>
        <w:sz w:val="32"/>
        <w:szCs w:val="32"/>
      </w:rPr>
      <w:tab/>
    </w:r>
    <w:r w:rsidR="00512D68">
      <w:rPr>
        <w:sz w:val="32"/>
        <w:szCs w:val="32"/>
      </w:rPr>
      <w:t xml:space="preserve">Establishment of </w:t>
    </w:r>
    <w:r w:rsidR="00B747A1">
      <w:rPr>
        <w:sz w:val="32"/>
        <w:szCs w:val="32"/>
      </w:rPr>
      <w:t xml:space="preserve">Training and </w:t>
    </w:r>
    <w:r w:rsidR="00512D68">
      <w:rPr>
        <w:sz w:val="32"/>
        <w:szCs w:val="32"/>
      </w:rPr>
      <w:t>Competency for Medical Procedures by Non-Credentialed Personnel</w:t>
    </w:r>
    <w:r w:rsidR="00DB3BC2">
      <w:rPr>
        <w:sz w:val="32"/>
        <w:szCs w:val="32"/>
      </w:rPr>
      <w:tab/>
    </w:r>
    <w:r w:rsidR="00DB3BC2">
      <w:rPr>
        <w:sz w:val="32"/>
        <w:szCs w:val="32"/>
      </w:rPr>
      <w:tab/>
    </w:r>
  </w:p>
  <w:p w14:paraId="7707423C" w14:textId="77777777" w:rsidR="005A232A" w:rsidRDefault="005A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423F" w14:textId="77777777" w:rsidR="00FA7999" w:rsidRPr="002D2F1A" w:rsidRDefault="00FA7999" w:rsidP="00FA7999">
    <w:pPr>
      <w:pStyle w:val="Header"/>
      <w:rPr>
        <w:b/>
        <w:sz w:val="32"/>
        <w:szCs w:val="32"/>
      </w:rPr>
    </w:pPr>
    <w:r>
      <w:rPr>
        <w:b/>
        <w:sz w:val="32"/>
        <w:szCs w:val="32"/>
      </w:rPr>
      <w:t xml:space="preserve">CTRC </w:t>
    </w:r>
    <w:r w:rsidRPr="002D2F1A">
      <w:rPr>
        <w:b/>
        <w:sz w:val="32"/>
        <w:szCs w:val="32"/>
      </w:rPr>
      <w:t>STANDARD OPERATING PROCEDURE-</w:t>
    </w:r>
  </w:p>
  <w:p w14:paraId="77074240" w14:textId="236D78F1" w:rsidR="00FA7999" w:rsidRDefault="00FA7999" w:rsidP="00FA7999">
    <w:pPr>
      <w:pStyle w:val="Header"/>
    </w:pPr>
    <w:r>
      <w:rPr>
        <w:sz w:val="32"/>
        <w:szCs w:val="32"/>
      </w:rPr>
      <w:tab/>
    </w:r>
    <w:r w:rsidR="00B450C2">
      <w:rPr>
        <w:sz w:val="32"/>
        <w:szCs w:val="32"/>
      </w:rPr>
      <w:t xml:space="preserve">CTRC </w:t>
    </w:r>
    <w:r w:rsidR="00B37D7D">
      <w:rPr>
        <w:sz w:val="32"/>
        <w:szCs w:val="32"/>
      </w:rPr>
      <w:t>Training of Non-Licensed Personnel to Conduct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728C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EA384A"/>
    <w:multiLevelType w:val="hybridMultilevel"/>
    <w:tmpl w:val="28DE1EC2"/>
    <w:lvl w:ilvl="0" w:tplc="418E706E">
      <w:start w:val="1"/>
      <w:numFmt w:val="decimal"/>
      <w:pStyle w:val="ListNumber"/>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DF7"/>
    <w:multiLevelType w:val="hybridMultilevel"/>
    <w:tmpl w:val="F7A6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304DD"/>
    <w:multiLevelType w:val="hybridMultilevel"/>
    <w:tmpl w:val="FE161F78"/>
    <w:lvl w:ilvl="0" w:tplc="8722A9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96228"/>
    <w:multiLevelType w:val="hybridMultilevel"/>
    <w:tmpl w:val="75ACA86A"/>
    <w:lvl w:ilvl="0" w:tplc="319C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2A3532"/>
    <w:multiLevelType w:val="hybridMultilevel"/>
    <w:tmpl w:val="0506F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22"/>
    <w:rsid w:val="000954CE"/>
    <w:rsid w:val="000B763B"/>
    <w:rsid w:val="000F3DBD"/>
    <w:rsid w:val="00101669"/>
    <w:rsid w:val="00105355"/>
    <w:rsid w:val="00110676"/>
    <w:rsid w:val="001162FB"/>
    <w:rsid w:val="00126B35"/>
    <w:rsid w:val="00215B4B"/>
    <w:rsid w:val="002A168E"/>
    <w:rsid w:val="002C3DB5"/>
    <w:rsid w:val="002D2F1A"/>
    <w:rsid w:val="00302745"/>
    <w:rsid w:val="00311325"/>
    <w:rsid w:val="00315613"/>
    <w:rsid w:val="003168DD"/>
    <w:rsid w:val="00334EBE"/>
    <w:rsid w:val="00357A37"/>
    <w:rsid w:val="00366656"/>
    <w:rsid w:val="003B7796"/>
    <w:rsid w:val="003E534E"/>
    <w:rsid w:val="003F2CE3"/>
    <w:rsid w:val="0041516A"/>
    <w:rsid w:val="004616DC"/>
    <w:rsid w:val="004A783F"/>
    <w:rsid w:val="004C5F11"/>
    <w:rsid w:val="004E1C29"/>
    <w:rsid w:val="00512D68"/>
    <w:rsid w:val="005164F0"/>
    <w:rsid w:val="005850C5"/>
    <w:rsid w:val="005A0E56"/>
    <w:rsid w:val="005A232A"/>
    <w:rsid w:val="005A6F92"/>
    <w:rsid w:val="005B33A3"/>
    <w:rsid w:val="005E4D2D"/>
    <w:rsid w:val="00600563"/>
    <w:rsid w:val="00623CD9"/>
    <w:rsid w:val="006E5EA6"/>
    <w:rsid w:val="006F08CA"/>
    <w:rsid w:val="007D3781"/>
    <w:rsid w:val="00865072"/>
    <w:rsid w:val="0089535E"/>
    <w:rsid w:val="008A14D2"/>
    <w:rsid w:val="008B6962"/>
    <w:rsid w:val="008D6C66"/>
    <w:rsid w:val="00912049"/>
    <w:rsid w:val="00922286"/>
    <w:rsid w:val="00930E9F"/>
    <w:rsid w:val="00935EBF"/>
    <w:rsid w:val="00965B2E"/>
    <w:rsid w:val="00975AAF"/>
    <w:rsid w:val="0098131E"/>
    <w:rsid w:val="009C49F8"/>
    <w:rsid w:val="009F32CC"/>
    <w:rsid w:val="00A540FC"/>
    <w:rsid w:val="00A86A19"/>
    <w:rsid w:val="00A926A4"/>
    <w:rsid w:val="00AA5E55"/>
    <w:rsid w:val="00AB4B98"/>
    <w:rsid w:val="00AC3273"/>
    <w:rsid w:val="00AF1838"/>
    <w:rsid w:val="00AF50EF"/>
    <w:rsid w:val="00B33BC4"/>
    <w:rsid w:val="00B356DF"/>
    <w:rsid w:val="00B35C55"/>
    <w:rsid w:val="00B37D7D"/>
    <w:rsid w:val="00B450C2"/>
    <w:rsid w:val="00B747A1"/>
    <w:rsid w:val="00B9729A"/>
    <w:rsid w:val="00BA4C72"/>
    <w:rsid w:val="00BA5A22"/>
    <w:rsid w:val="00BC58C3"/>
    <w:rsid w:val="00C068EB"/>
    <w:rsid w:val="00C41766"/>
    <w:rsid w:val="00C47321"/>
    <w:rsid w:val="00D9437F"/>
    <w:rsid w:val="00DB3BC2"/>
    <w:rsid w:val="00DD4D47"/>
    <w:rsid w:val="00F879D7"/>
    <w:rsid w:val="00F95360"/>
    <w:rsid w:val="00FA7999"/>
    <w:rsid w:val="00FB63DB"/>
    <w:rsid w:val="00FE672D"/>
    <w:rsid w:val="00FE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4110"/>
  <w15:docId w15:val="{991DD668-895F-4B98-864F-8F6DE7E8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999"/>
    <w:pPr>
      <w:spacing w:after="0" w:line="240" w:lineRule="auto"/>
      <w:jc w:val="center"/>
      <w:outlineLvl w:val="0"/>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76"/>
  </w:style>
  <w:style w:type="paragraph" w:styleId="Footer">
    <w:name w:val="footer"/>
    <w:basedOn w:val="Normal"/>
    <w:link w:val="FooterChar"/>
    <w:uiPriority w:val="99"/>
    <w:unhideWhenUsed/>
    <w:rsid w:val="0011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76"/>
  </w:style>
  <w:style w:type="character" w:styleId="PlaceholderText">
    <w:name w:val="Placeholder Text"/>
    <w:basedOn w:val="DefaultParagraphFont"/>
    <w:uiPriority w:val="99"/>
    <w:semiHidden/>
    <w:rsid w:val="00110676"/>
    <w:rPr>
      <w:color w:val="808080"/>
    </w:rPr>
  </w:style>
  <w:style w:type="paragraph" w:styleId="BodyText">
    <w:name w:val="Body Text"/>
    <w:basedOn w:val="Normal"/>
    <w:link w:val="BodyTextChar"/>
    <w:uiPriority w:val="99"/>
    <w:unhideWhenUsed/>
    <w:rsid w:val="00FA7999"/>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FA7999"/>
    <w:rPr>
      <w:rFonts w:ascii="Calibri" w:eastAsia="Calibri" w:hAnsi="Calibri" w:cs="Times New Roman"/>
    </w:rPr>
  </w:style>
  <w:style w:type="paragraph" w:customStyle="1" w:styleId="BodyTextRight">
    <w:name w:val="Body Text Right"/>
    <w:basedOn w:val="Normal"/>
    <w:qFormat/>
    <w:rsid w:val="00FA7999"/>
    <w:pPr>
      <w:spacing w:after="120" w:line="240" w:lineRule="auto"/>
      <w:jc w:val="right"/>
    </w:pPr>
    <w:rPr>
      <w:rFonts w:ascii="Calibri" w:eastAsia="Calibri" w:hAnsi="Calibri" w:cs="Times New Roman"/>
      <w:b/>
    </w:rPr>
  </w:style>
  <w:style w:type="paragraph" w:styleId="ListBullet">
    <w:name w:val="List Bullet"/>
    <w:basedOn w:val="Normal"/>
    <w:uiPriority w:val="99"/>
    <w:unhideWhenUsed/>
    <w:rsid w:val="00FA7999"/>
    <w:pPr>
      <w:numPr>
        <w:numId w:val="1"/>
      </w:numPr>
      <w:spacing w:after="120" w:line="240" w:lineRule="auto"/>
    </w:pPr>
    <w:rPr>
      <w:rFonts w:ascii="Calibri" w:eastAsia="Calibri" w:hAnsi="Calibri" w:cs="Times New Roman"/>
    </w:rPr>
  </w:style>
  <w:style w:type="character" w:styleId="Strong">
    <w:name w:val="Strong"/>
    <w:uiPriority w:val="22"/>
    <w:qFormat/>
    <w:rsid w:val="00FA7999"/>
    <w:rPr>
      <w:b/>
      <w:bCs/>
    </w:rPr>
  </w:style>
  <w:style w:type="character" w:customStyle="1" w:styleId="BoldUnderscore">
    <w:name w:val="BoldUnderscore"/>
    <w:uiPriority w:val="1"/>
    <w:qFormat/>
    <w:rsid w:val="00FA7999"/>
    <w:rPr>
      <w:b/>
      <w:bCs/>
      <w:u w:val="single"/>
    </w:rPr>
  </w:style>
  <w:style w:type="paragraph" w:styleId="BodyText2">
    <w:name w:val="Body Text 2"/>
    <w:basedOn w:val="Normal"/>
    <w:link w:val="BodyText2Char"/>
    <w:uiPriority w:val="99"/>
    <w:unhideWhenUsed/>
    <w:rsid w:val="00FA7999"/>
    <w:pPr>
      <w:spacing w:after="120" w:line="480" w:lineRule="auto"/>
    </w:pPr>
  </w:style>
  <w:style w:type="character" w:customStyle="1" w:styleId="BodyText2Char">
    <w:name w:val="Body Text 2 Char"/>
    <w:basedOn w:val="DefaultParagraphFont"/>
    <w:link w:val="BodyText2"/>
    <w:uiPriority w:val="99"/>
    <w:rsid w:val="00FA7999"/>
  </w:style>
  <w:style w:type="character" w:customStyle="1" w:styleId="Heading1Char">
    <w:name w:val="Heading 1 Char"/>
    <w:basedOn w:val="DefaultParagraphFont"/>
    <w:link w:val="Heading1"/>
    <w:uiPriority w:val="9"/>
    <w:rsid w:val="00FA7999"/>
    <w:rPr>
      <w:rFonts w:ascii="Calibri" w:eastAsia="Calibri" w:hAnsi="Calibri" w:cs="Times New Roman"/>
      <w:b/>
      <w:sz w:val="28"/>
      <w:szCs w:val="28"/>
    </w:rPr>
  </w:style>
  <w:style w:type="paragraph" w:styleId="ListNumber">
    <w:name w:val="List Number"/>
    <w:basedOn w:val="Title"/>
    <w:uiPriority w:val="99"/>
    <w:unhideWhenUsed/>
    <w:rsid w:val="00FA7999"/>
    <w:pPr>
      <w:numPr>
        <w:numId w:val="2"/>
      </w:numPr>
      <w:tabs>
        <w:tab w:val="num" w:pos="360"/>
      </w:tabs>
      <w:spacing w:before="120" w:after="120"/>
      <w:ind w:left="0" w:firstLine="0"/>
      <w:contextualSpacing w:val="0"/>
    </w:pPr>
    <w:rPr>
      <w:rFonts w:ascii="Calibri" w:eastAsia="Times New Roman" w:hAnsi="Calibri" w:cs="Times New Roman"/>
      <w:spacing w:val="0"/>
      <w:kern w:val="0"/>
      <w:sz w:val="22"/>
      <w:szCs w:val="20"/>
    </w:rPr>
  </w:style>
  <w:style w:type="paragraph" w:styleId="Title">
    <w:name w:val="Title"/>
    <w:basedOn w:val="Normal"/>
    <w:next w:val="Normal"/>
    <w:link w:val="TitleChar"/>
    <w:uiPriority w:val="10"/>
    <w:qFormat/>
    <w:rsid w:val="00FA7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99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950">
      <w:bodyDiv w:val="1"/>
      <w:marLeft w:val="0"/>
      <w:marRight w:val="0"/>
      <w:marTop w:val="0"/>
      <w:marBottom w:val="0"/>
      <w:divBdr>
        <w:top w:val="none" w:sz="0" w:space="0" w:color="auto"/>
        <w:left w:val="none" w:sz="0" w:space="0" w:color="auto"/>
        <w:bottom w:val="none" w:sz="0" w:space="0" w:color="auto"/>
        <w:right w:val="none" w:sz="0" w:space="0" w:color="auto"/>
      </w:divBdr>
    </w:div>
    <w:div w:id="677122331">
      <w:bodyDiv w:val="1"/>
      <w:marLeft w:val="0"/>
      <w:marRight w:val="0"/>
      <w:marTop w:val="0"/>
      <w:marBottom w:val="0"/>
      <w:divBdr>
        <w:top w:val="none" w:sz="0" w:space="0" w:color="auto"/>
        <w:left w:val="none" w:sz="0" w:space="0" w:color="auto"/>
        <w:bottom w:val="none" w:sz="0" w:space="0" w:color="auto"/>
        <w:right w:val="none" w:sz="0" w:space="0" w:color="auto"/>
      </w:divBdr>
    </w:div>
    <w:div w:id="917205739">
      <w:bodyDiv w:val="1"/>
      <w:marLeft w:val="0"/>
      <w:marRight w:val="0"/>
      <w:marTop w:val="0"/>
      <w:marBottom w:val="0"/>
      <w:divBdr>
        <w:top w:val="none" w:sz="0" w:space="0" w:color="auto"/>
        <w:left w:val="none" w:sz="0" w:space="0" w:color="auto"/>
        <w:bottom w:val="none" w:sz="0" w:space="0" w:color="auto"/>
        <w:right w:val="none" w:sz="0" w:space="0" w:color="auto"/>
      </w:divBdr>
    </w:div>
    <w:div w:id="1005673310">
      <w:bodyDiv w:val="1"/>
      <w:marLeft w:val="0"/>
      <w:marRight w:val="0"/>
      <w:marTop w:val="0"/>
      <w:marBottom w:val="0"/>
      <w:divBdr>
        <w:top w:val="none" w:sz="0" w:space="0" w:color="auto"/>
        <w:left w:val="none" w:sz="0" w:space="0" w:color="auto"/>
        <w:bottom w:val="none" w:sz="0" w:space="0" w:color="auto"/>
        <w:right w:val="none" w:sz="0" w:space="0" w:color="auto"/>
      </w:divBdr>
    </w:div>
    <w:div w:id="1049574161">
      <w:bodyDiv w:val="1"/>
      <w:marLeft w:val="0"/>
      <w:marRight w:val="0"/>
      <w:marTop w:val="0"/>
      <w:marBottom w:val="0"/>
      <w:divBdr>
        <w:top w:val="none" w:sz="0" w:space="0" w:color="auto"/>
        <w:left w:val="none" w:sz="0" w:space="0" w:color="auto"/>
        <w:bottom w:val="none" w:sz="0" w:space="0" w:color="auto"/>
        <w:right w:val="none" w:sz="0" w:space="0" w:color="auto"/>
      </w:divBdr>
    </w:div>
    <w:div w:id="1296330527">
      <w:bodyDiv w:val="1"/>
      <w:marLeft w:val="0"/>
      <w:marRight w:val="0"/>
      <w:marTop w:val="0"/>
      <w:marBottom w:val="0"/>
      <w:divBdr>
        <w:top w:val="none" w:sz="0" w:space="0" w:color="auto"/>
        <w:left w:val="none" w:sz="0" w:space="0" w:color="auto"/>
        <w:bottom w:val="none" w:sz="0" w:space="0" w:color="auto"/>
        <w:right w:val="none" w:sz="0" w:space="0" w:color="auto"/>
      </w:divBdr>
    </w:div>
    <w:div w:id="1303346004">
      <w:bodyDiv w:val="1"/>
      <w:marLeft w:val="0"/>
      <w:marRight w:val="0"/>
      <w:marTop w:val="0"/>
      <w:marBottom w:val="0"/>
      <w:divBdr>
        <w:top w:val="none" w:sz="0" w:space="0" w:color="auto"/>
        <w:left w:val="none" w:sz="0" w:space="0" w:color="auto"/>
        <w:bottom w:val="none" w:sz="0" w:space="0" w:color="auto"/>
        <w:right w:val="none" w:sz="0" w:space="0" w:color="auto"/>
      </w:divBdr>
    </w:div>
    <w:div w:id="1562212678">
      <w:bodyDiv w:val="1"/>
      <w:marLeft w:val="0"/>
      <w:marRight w:val="0"/>
      <w:marTop w:val="0"/>
      <w:marBottom w:val="0"/>
      <w:divBdr>
        <w:top w:val="none" w:sz="0" w:space="0" w:color="auto"/>
        <w:left w:val="none" w:sz="0" w:space="0" w:color="auto"/>
        <w:bottom w:val="none" w:sz="0" w:space="0" w:color="auto"/>
        <w:right w:val="none" w:sz="0" w:space="0" w:color="auto"/>
      </w:divBdr>
    </w:div>
    <w:div w:id="1864048766">
      <w:bodyDiv w:val="1"/>
      <w:marLeft w:val="0"/>
      <w:marRight w:val="0"/>
      <w:marTop w:val="0"/>
      <w:marBottom w:val="0"/>
      <w:divBdr>
        <w:top w:val="none" w:sz="0" w:space="0" w:color="auto"/>
        <w:left w:val="none" w:sz="0" w:space="0" w:color="auto"/>
        <w:bottom w:val="none" w:sz="0" w:space="0" w:color="auto"/>
        <w:right w:val="none" w:sz="0" w:space="0" w:color="auto"/>
      </w:divBdr>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53845CD509646B78811D0D78FB8AC" ma:contentTypeVersion="1" ma:contentTypeDescription="Create a new document." ma:contentTypeScope="" ma:versionID="138cf262c69b67bacfa408dc236d96a3">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7600E-B256-4E11-A485-6275D4BEFD27}"/>
</file>

<file path=customXml/itemProps2.xml><?xml version="1.0" encoding="utf-8"?>
<ds:datastoreItem xmlns:ds="http://schemas.openxmlformats.org/officeDocument/2006/customXml" ds:itemID="{5B2FD11E-67E9-458E-B206-DB79B42B7EC2}"/>
</file>

<file path=customXml/itemProps3.xml><?xml version="1.0" encoding="utf-8"?>
<ds:datastoreItem xmlns:ds="http://schemas.openxmlformats.org/officeDocument/2006/customXml" ds:itemID="{851C6F1D-176A-4510-9248-BE86E9FAC780}"/>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Standard operating procedure-protocol updates from nurse liaison</vt:lpstr>
    </vt:vector>
  </TitlesOfParts>
  <Company>University of Colorado Health</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procedure-protocol updates from nurse liaison</dc:title>
  <dc:creator>Branham, Diane</dc:creator>
  <cp:lastModifiedBy>Caldwell, Christopher</cp:lastModifiedBy>
  <cp:revision>2</cp:revision>
  <cp:lastPrinted>2017-04-24T17:23:00Z</cp:lastPrinted>
  <dcterms:created xsi:type="dcterms:W3CDTF">2017-06-30T16:01:00Z</dcterms:created>
  <dcterms:modified xsi:type="dcterms:W3CDTF">2017-06-30T16:01:00Z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0x01010083753845CD509646B78811D0D78FB8AC</vt:lpwstr>
  </property>
</Properties>
</file>