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7D" w:rsidRDefault="0098707D" w:rsidP="0098707D">
      <w:pPr>
        <w:spacing w:after="0"/>
        <w:jc w:val="center"/>
        <w:rPr>
          <w:rFonts w:ascii="Arial" w:hAnsi="Arial"/>
          <w:b/>
          <w:smallCaps/>
        </w:rPr>
      </w:pPr>
      <w:r w:rsidRPr="005F6732">
        <w:rPr>
          <w:rFonts w:ascii="Arial" w:hAnsi="Arial"/>
          <w:b/>
          <w:smallCaps/>
        </w:rPr>
        <w:t>Partner</w:t>
      </w:r>
      <w:r w:rsidR="00CF2274" w:rsidRPr="005F6732">
        <w:rPr>
          <w:rFonts w:ascii="Arial" w:hAnsi="Arial"/>
          <w:b/>
          <w:smallCaps/>
        </w:rPr>
        <w:t>i</w:t>
      </w:r>
      <w:r w:rsidR="008F7324" w:rsidRPr="005F6732">
        <w:rPr>
          <w:rFonts w:ascii="Arial" w:hAnsi="Arial"/>
          <w:b/>
          <w:smallCaps/>
        </w:rPr>
        <w:t>ng with ISSS to Apply for Legal</w:t>
      </w:r>
      <w:r w:rsidRPr="005F6732">
        <w:rPr>
          <w:rFonts w:ascii="Arial" w:hAnsi="Arial"/>
          <w:b/>
          <w:smallCaps/>
        </w:rPr>
        <w:t xml:space="preserve"> Permanent Residence</w:t>
      </w:r>
    </w:p>
    <w:p w:rsidR="00F42E0B" w:rsidRPr="00F42E0B" w:rsidRDefault="00FC2E4F" w:rsidP="0098707D">
      <w:pPr>
        <w:spacing w:after="0"/>
        <w:jc w:val="center"/>
        <w:rPr>
          <w:rFonts w:ascii="Arial" w:hAnsi="Arial"/>
          <w:smallCaps/>
        </w:rPr>
      </w:pPr>
      <w:r>
        <w:rPr>
          <w:rFonts w:ascii="Arial" w:hAnsi="Arial"/>
          <w:smallCaps/>
        </w:rPr>
        <w:t xml:space="preserve">Revised </w:t>
      </w:r>
      <w:r w:rsidR="00ED1C83">
        <w:rPr>
          <w:rFonts w:ascii="Arial" w:hAnsi="Arial"/>
          <w:smallCaps/>
        </w:rPr>
        <w:t>10/19</w:t>
      </w:r>
      <w:bookmarkStart w:id="0" w:name="_GoBack"/>
      <w:bookmarkEnd w:id="0"/>
      <w:r w:rsidR="00E11008">
        <w:rPr>
          <w:rFonts w:ascii="Arial" w:hAnsi="Arial"/>
          <w:smallCaps/>
        </w:rPr>
        <w:t>/2020</w:t>
      </w:r>
    </w:p>
    <w:p w:rsidR="0098707D" w:rsidRPr="005F6732" w:rsidRDefault="0098707D" w:rsidP="0098707D">
      <w:pPr>
        <w:spacing w:after="0"/>
        <w:rPr>
          <w:rFonts w:ascii="Arial" w:hAnsi="Arial"/>
        </w:rPr>
      </w:pPr>
    </w:p>
    <w:p w:rsidR="0098707D" w:rsidRPr="005F6732" w:rsidRDefault="0098707D" w:rsidP="0098707D">
      <w:pPr>
        <w:spacing w:after="0"/>
        <w:rPr>
          <w:rFonts w:ascii="Arial" w:hAnsi="Arial"/>
        </w:rPr>
      </w:pPr>
      <w:r w:rsidRPr="005F6732">
        <w:rPr>
          <w:rFonts w:ascii="Arial" w:hAnsi="Arial"/>
        </w:rPr>
        <w:t>There</w:t>
      </w:r>
      <w:r w:rsidR="008F7324" w:rsidRPr="005F6732">
        <w:rPr>
          <w:rFonts w:ascii="Arial" w:hAnsi="Arial"/>
        </w:rPr>
        <w:t xml:space="preserve"> are multiple pathways to legal</w:t>
      </w:r>
      <w:r w:rsidRPr="005F6732">
        <w:rPr>
          <w:rFonts w:ascii="Arial" w:hAnsi="Arial"/>
        </w:rPr>
        <w:t xml:space="preserve"> permane</w:t>
      </w:r>
      <w:r w:rsidR="00252F35" w:rsidRPr="005F6732">
        <w:rPr>
          <w:rFonts w:ascii="Arial" w:hAnsi="Arial"/>
        </w:rPr>
        <w:t xml:space="preserve">nt residence (LPR) in the U.S.  </w:t>
      </w:r>
      <w:r w:rsidRPr="005F6732">
        <w:rPr>
          <w:rFonts w:ascii="Arial" w:hAnsi="Arial"/>
        </w:rPr>
        <w:t>These</w:t>
      </w:r>
      <w:r w:rsidR="00F85AFB">
        <w:rPr>
          <w:rFonts w:ascii="Arial" w:hAnsi="Arial"/>
        </w:rPr>
        <w:t xml:space="preserve"> include family-based options, the diversity</w:t>
      </w:r>
      <w:r w:rsidRPr="005F6732">
        <w:rPr>
          <w:rFonts w:ascii="Arial" w:hAnsi="Arial"/>
        </w:rPr>
        <w:t xml:space="preserve"> lottery, </w:t>
      </w:r>
      <w:r w:rsidR="008F7324" w:rsidRPr="005F6732">
        <w:rPr>
          <w:rFonts w:ascii="Arial" w:hAnsi="Arial"/>
        </w:rPr>
        <w:t xml:space="preserve">and employment-based options.  </w:t>
      </w:r>
      <w:r w:rsidR="00FC2E4F">
        <w:rPr>
          <w:rFonts w:ascii="Arial" w:hAnsi="Arial"/>
        </w:rPr>
        <w:t xml:space="preserve">ISSS </w:t>
      </w:r>
      <w:r w:rsidR="00252F35" w:rsidRPr="005F6732">
        <w:rPr>
          <w:rFonts w:ascii="Arial" w:hAnsi="Arial"/>
        </w:rPr>
        <w:t>provide</w:t>
      </w:r>
      <w:r w:rsidR="00FC2E4F">
        <w:rPr>
          <w:rFonts w:ascii="Arial" w:hAnsi="Arial"/>
        </w:rPr>
        <w:t>s</w:t>
      </w:r>
      <w:r w:rsidR="00252F35" w:rsidRPr="005F6732">
        <w:rPr>
          <w:rFonts w:ascii="Arial" w:hAnsi="Arial"/>
        </w:rPr>
        <w:t xml:space="preserve"> assistance to </w:t>
      </w:r>
      <w:r w:rsidR="008F7324" w:rsidRPr="005F6732">
        <w:rPr>
          <w:rFonts w:ascii="Arial" w:hAnsi="Arial"/>
        </w:rPr>
        <w:t>hiring units who</w:t>
      </w:r>
      <w:r w:rsidR="00676721" w:rsidRPr="005F6732">
        <w:rPr>
          <w:rFonts w:ascii="Arial" w:hAnsi="Arial"/>
        </w:rPr>
        <w:t xml:space="preserve"> </w:t>
      </w:r>
      <w:r w:rsidR="008F7324" w:rsidRPr="005F6732">
        <w:rPr>
          <w:rFonts w:ascii="Arial" w:hAnsi="Arial"/>
        </w:rPr>
        <w:t>wish</w:t>
      </w:r>
      <w:r w:rsidRPr="005F6732">
        <w:rPr>
          <w:rFonts w:ascii="Arial" w:hAnsi="Arial"/>
        </w:rPr>
        <w:t xml:space="preserve"> to sponsor</w:t>
      </w:r>
      <w:r w:rsidR="008F7324" w:rsidRPr="005F6732">
        <w:rPr>
          <w:rFonts w:ascii="Arial" w:hAnsi="Arial"/>
        </w:rPr>
        <w:t xml:space="preserve"> an</w:t>
      </w:r>
      <w:r w:rsidRPr="005F6732">
        <w:rPr>
          <w:rFonts w:ascii="Arial" w:hAnsi="Arial"/>
        </w:rPr>
        <w:t xml:space="preserve"> </w:t>
      </w:r>
      <w:r w:rsidR="00FC2E4F">
        <w:rPr>
          <w:rFonts w:ascii="Arial" w:hAnsi="Arial"/>
        </w:rPr>
        <w:t>international employee in an employment-based category</w:t>
      </w:r>
      <w:r w:rsidR="008F7324" w:rsidRPr="005F6732">
        <w:rPr>
          <w:rFonts w:ascii="Arial" w:hAnsi="Arial"/>
        </w:rPr>
        <w:t>.  A successful LPR process requires</w:t>
      </w:r>
      <w:r w:rsidRPr="005F6732">
        <w:rPr>
          <w:rFonts w:ascii="Arial" w:hAnsi="Arial"/>
        </w:rPr>
        <w:t xml:space="preserve"> a collaborative effort among the </w:t>
      </w:r>
      <w:r w:rsidR="008F7324" w:rsidRPr="005F6732">
        <w:rPr>
          <w:rFonts w:ascii="Arial" w:hAnsi="Arial"/>
        </w:rPr>
        <w:t>employee’s supervisor, the Department Admi</w:t>
      </w:r>
      <w:r w:rsidR="00FC2E4F">
        <w:rPr>
          <w:rFonts w:ascii="Arial" w:hAnsi="Arial"/>
        </w:rPr>
        <w:t xml:space="preserve">nistrator, the international </w:t>
      </w:r>
      <w:r w:rsidR="008F7324" w:rsidRPr="005F6732">
        <w:rPr>
          <w:rFonts w:ascii="Arial" w:hAnsi="Arial"/>
        </w:rPr>
        <w:t>employee</w:t>
      </w:r>
      <w:r w:rsidR="00E11008">
        <w:rPr>
          <w:rFonts w:ascii="Arial" w:hAnsi="Arial"/>
        </w:rPr>
        <w:t xml:space="preserve">, and ISSS.  For all cases initiated after January 1, 2020, </w:t>
      </w:r>
      <w:r w:rsidRPr="005F6732">
        <w:rPr>
          <w:rFonts w:ascii="Arial" w:hAnsi="Arial"/>
        </w:rPr>
        <w:t>ou</w:t>
      </w:r>
      <w:r w:rsidR="00CF2274" w:rsidRPr="005F6732">
        <w:rPr>
          <w:rFonts w:ascii="Arial" w:hAnsi="Arial"/>
        </w:rPr>
        <w:t>tsi</w:t>
      </w:r>
      <w:r w:rsidR="00E11008">
        <w:rPr>
          <w:rFonts w:ascii="Arial" w:hAnsi="Arial"/>
        </w:rPr>
        <w:t>de counsel will be engaged by ISSS</w:t>
      </w:r>
      <w:r w:rsidRPr="005F6732">
        <w:rPr>
          <w:rFonts w:ascii="Arial" w:hAnsi="Arial"/>
        </w:rPr>
        <w:t xml:space="preserve">.   </w:t>
      </w:r>
    </w:p>
    <w:p w:rsidR="0098707D" w:rsidRPr="005F6732" w:rsidRDefault="0098707D" w:rsidP="0098707D">
      <w:pPr>
        <w:spacing w:after="0"/>
        <w:rPr>
          <w:rFonts w:ascii="Arial" w:hAnsi="Arial"/>
        </w:rPr>
      </w:pPr>
    </w:p>
    <w:p w:rsidR="00FC2E4F" w:rsidRPr="005F6732" w:rsidRDefault="0098707D" w:rsidP="00FC2E4F">
      <w:pPr>
        <w:spacing w:after="0"/>
        <w:rPr>
          <w:rFonts w:ascii="Arial" w:hAnsi="Arial"/>
        </w:rPr>
      </w:pPr>
      <w:r w:rsidRPr="005F6732">
        <w:rPr>
          <w:rFonts w:ascii="Arial" w:hAnsi="Arial"/>
        </w:rPr>
        <w:t>International</w:t>
      </w:r>
      <w:r w:rsidR="008F7324" w:rsidRPr="005F6732">
        <w:rPr>
          <w:rFonts w:ascii="Arial" w:hAnsi="Arial"/>
        </w:rPr>
        <w:t xml:space="preserve"> employees seeking university sponsorship for employment-based legal permanent residence</w:t>
      </w:r>
      <w:r w:rsidRPr="005F6732">
        <w:rPr>
          <w:rFonts w:ascii="Arial" w:hAnsi="Arial"/>
        </w:rPr>
        <w:t xml:space="preserve"> are required to work through their hiring unit – faculty supervisors and/or department administrators – to contact </w:t>
      </w:r>
      <w:r w:rsidR="00F85AFB">
        <w:rPr>
          <w:rFonts w:ascii="Arial" w:hAnsi="Arial"/>
        </w:rPr>
        <w:t xml:space="preserve">ISSS regarding sponsorship </w:t>
      </w:r>
      <w:r w:rsidRPr="005F6732">
        <w:rPr>
          <w:rFonts w:ascii="Arial" w:hAnsi="Arial"/>
        </w:rPr>
        <w:t xml:space="preserve">and to engage ISSS services.  </w:t>
      </w:r>
      <w:r w:rsidR="00FC2E4F" w:rsidRPr="005F6732">
        <w:rPr>
          <w:rFonts w:ascii="Arial" w:hAnsi="Arial"/>
        </w:rPr>
        <w:t xml:space="preserve">Hiring units may use the employment authority of the University of Colorado Denver to obtain permanent residence for foreign nationals only when that course of action is consistent with the University’s goals, programs, and standards, and </w:t>
      </w:r>
      <w:r w:rsidR="00FC2E4F">
        <w:rPr>
          <w:rFonts w:ascii="Arial" w:hAnsi="Arial"/>
        </w:rPr>
        <w:t xml:space="preserve">is </w:t>
      </w:r>
      <w:r w:rsidR="00FC2E4F" w:rsidRPr="005F6732">
        <w:rPr>
          <w:rFonts w:ascii="Arial" w:hAnsi="Arial"/>
        </w:rPr>
        <w:t>in compliance with U.S. immigration law</w:t>
      </w:r>
      <w:r w:rsidR="00FC2E4F">
        <w:rPr>
          <w:rFonts w:ascii="Arial" w:hAnsi="Arial"/>
        </w:rPr>
        <w:t xml:space="preserve"> and other applicable regulations</w:t>
      </w:r>
      <w:r w:rsidR="00FC2E4F" w:rsidRPr="005F6732">
        <w:rPr>
          <w:rFonts w:ascii="Arial" w:hAnsi="Arial"/>
        </w:rPr>
        <w:t xml:space="preserve">.  </w:t>
      </w:r>
    </w:p>
    <w:p w:rsidR="0083197A" w:rsidRPr="00FC2E4F" w:rsidRDefault="00FC2E4F" w:rsidP="00FC2E4F">
      <w:pPr>
        <w:spacing w:after="0"/>
        <w:rPr>
          <w:rFonts w:ascii="Arial" w:hAnsi="Arial"/>
        </w:rPr>
      </w:pPr>
      <w:r w:rsidRPr="00FC2E4F">
        <w:rPr>
          <w:rFonts w:ascii="Arial" w:hAnsi="Arial"/>
        </w:rPr>
        <w:t>At the University of Colorado Denver | Anschutz Medical Campus, ISSS in the Office of International Affairs is the only office authorized by the Chancellor</w:t>
      </w:r>
      <w:r>
        <w:rPr>
          <w:rFonts w:ascii="Arial" w:hAnsi="Arial"/>
        </w:rPr>
        <w:t>s</w:t>
      </w:r>
      <w:r w:rsidR="00025289">
        <w:rPr>
          <w:rFonts w:ascii="Arial" w:hAnsi="Arial"/>
        </w:rPr>
        <w:t xml:space="preserve"> to approve and either prepare or </w:t>
      </w:r>
      <w:r w:rsidRPr="00FC2E4F">
        <w:rPr>
          <w:rFonts w:ascii="Arial" w:hAnsi="Arial"/>
        </w:rPr>
        <w:t xml:space="preserve">oversee all immigration paperwork for the university. </w:t>
      </w:r>
      <w:r w:rsidR="00E11008">
        <w:rPr>
          <w:rFonts w:ascii="Arial" w:hAnsi="Arial"/>
        </w:rPr>
        <w:t xml:space="preserve">  This includes engaging and managing outside immigration counsel.  </w:t>
      </w:r>
    </w:p>
    <w:p w:rsidR="0098707D" w:rsidRPr="005F6732" w:rsidRDefault="0098707D" w:rsidP="0098707D">
      <w:pPr>
        <w:spacing w:after="0"/>
        <w:rPr>
          <w:rFonts w:ascii="Arial" w:hAnsi="Arial"/>
        </w:rPr>
      </w:pPr>
    </w:p>
    <w:p w:rsidR="005F5C3A" w:rsidRPr="005F6732" w:rsidRDefault="005F5C3A" w:rsidP="005F5C3A">
      <w:pPr>
        <w:spacing w:after="0"/>
        <w:rPr>
          <w:rFonts w:ascii="Arial" w:hAnsi="Arial"/>
          <w:b/>
        </w:rPr>
      </w:pPr>
      <w:r w:rsidRPr="005F6732">
        <w:rPr>
          <w:rFonts w:ascii="Arial" w:hAnsi="Arial"/>
          <w:b/>
        </w:rPr>
        <w:t>When to Begin the LPR Process</w:t>
      </w:r>
    </w:p>
    <w:p w:rsidR="005F5C3A" w:rsidRPr="005F6732" w:rsidRDefault="005F5C3A" w:rsidP="005F5C3A">
      <w:pPr>
        <w:spacing w:after="0"/>
        <w:rPr>
          <w:rFonts w:ascii="Arial" w:hAnsi="Arial"/>
        </w:rPr>
      </w:pPr>
    </w:p>
    <w:p w:rsidR="005F5C3A" w:rsidRPr="005F6732" w:rsidRDefault="00F85AFB" w:rsidP="005F5C3A">
      <w:pPr>
        <w:spacing w:after="0"/>
        <w:rPr>
          <w:rFonts w:ascii="Arial" w:hAnsi="Arial"/>
        </w:rPr>
      </w:pPr>
      <w:r>
        <w:rPr>
          <w:rFonts w:ascii="Arial" w:hAnsi="Arial"/>
        </w:rPr>
        <w:t>When</w:t>
      </w:r>
      <w:r w:rsidR="005F5C3A" w:rsidRPr="005F6732">
        <w:rPr>
          <w:rFonts w:ascii="Arial" w:hAnsi="Arial"/>
        </w:rPr>
        <w:t xml:space="preserve"> recruit</w:t>
      </w:r>
      <w:r>
        <w:rPr>
          <w:rFonts w:ascii="Arial" w:hAnsi="Arial"/>
        </w:rPr>
        <w:t>ing</w:t>
      </w:r>
      <w:r w:rsidR="005F5C3A" w:rsidRPr="005F6732">
        <w:rPr>
          <w:rFonts w:ascii="Arial" w:hAnsi="Arial"/>
        </w:rPr>
        <w:t xml:space="preserve"> an international faculty member </w:t>
      </w:r>
      <w:r>
        <w:rPr>
          <w:rFonts w:ascii="Arial" w:hAnsi="Arial"/>
        </w:rPr>
        <w:t xml:space="preserve">at the Assistant Professor level or above </w:t>
      </w:r>
      <w:r w:rsidR="005F5C3A" w:rsidRPr="005F6732">
        <w:rPr>
          <w:rFonts w:ascii="Arial" w:hAnsi="Arial"/>
        </w:rPr>
        <w:t xml:space="preserve">or </w:t>
      </w:r>
      <w:r>
        <w:rPr>
          <w:rFonts w:ascii="Arial" w:hAnsi="Arial"/>
        </w:rPr>
        <w:t xml:space="preserve">a </w:t>
      </w:r>
      <w:r w:rsidR="005F5C3A" w:rsidRPr="005F6732">
        <w:rPr>
          <w:rFonts w:ascii="Arial" w:hAnsi="Arial"/>
        </w:rPr>
        <w:t>high-level exemp</w:t>
      </w:r>
      <w:r>
        <w:rPr>
          <w:rFonts w:ascii="Arial" w:hAnsi="Arial"/>
        </w:rPr>
        <w:t xml:space="preserve">t professional at the Director level or above, the hiring unit may choose to extend </w:t>
      </w:r>
      <w:r w:rsidR="005F5C3A" w:rsidRPr="005F6732">
        <w:rPr>
          <w:rFonts w:ascii="Arial" w:hAnsi="Arial"/>
        </w:rPr>
        <w:t>sponsorship for employment-ba</w:t>
      </w:r>
      <w:r>
        <w:rPr>
          <w:rFonts w:ascii="Arial" w:hAnsi="Arial"/>
        </w:rPr>
        <w:t>sed permanent residency as part of the initial offer</w:t>
      </w:r>
      <w:r w:rsidR="001178D4">
        <w:rPr>
          <w:rFonts w:ascii="Arial" w:hAnsi="Arial"/>
        </w:rPr>
        <w:t xml:space="preserve">.  Note, however, that you MUST </w:t>
      </w:r>
      <w:r w:rsidR="005F5C3A" w:rsidRPr="005F6732">
        <w:rPr>
          <w:rFonts w:ascii="Arial" w:hAnsi="Arial"/>
        </w:rPr>
        <w:t xml:space="preserve">consult with ISSS before you commit to sponsorship by </w:t>
      </w:r>
      <w:r w:rsidR="00E11008">
        <w:rPr>
          <w:rFonts w:ascii="Arial" w:hAnsi="Arial"/>
        </w:rPr>
        <w:t xml:space="preserve">the </w:t>
      </w:r>
      <w:r w:rsidR="005F5C3A" w:rsidRPr="005F6732">
        <w:rPr>
          <w:rFonts w:ascii="Arial" w:hAnsi="Arial"/>
        </w:rPr>
        <w:t xml:space="preserve">University of Colorado Denver.  We need to assess the potential employee’s eligibility for employment-based permanent residency as well as provide guidance </w:t>
      </w:r>
      <w:r w:rsidR="00FC2E4F">
        <w:rPr>
          <w:rFonts w:ascii="Arial" w:hAnsi="Arial"/>
        </w:rPr>
        <w:t xml:space="preserve">from the very beginning </w:t>
      </w:r>
      <w:r w:rsidR="005F5C3A" w:rsidRPr="005F6732">
        <w:rPr>
          <w:rFonts w:ascii="Arial" w:hAnsi="Arial"/>
        </w:rPr>
        <w:t>to ensure that the process goes as smoothly as possible.  In most cases</w:t>
      </w:r>
      <w:r w:rsidR="00E11008">
        <w:rPr>
          <w:rFonts w:ascii="Arial" w:hAnsi="Arial"/>
        </w:rPr>
        <w:t>,</w:t>
      </w:r>
      <w:r w:rsidR="005F5C3A" w:rsidRPr="005F6732">
        <w:rPr>
          <w:rFonts w:ascii="Arial" w:hAnsi="Arial"/>
        </w:rPr>
        <w:t xml:space="preserve"> it will be necessary to </w:t>
      </w:r>
      <w:r w:rsidR="001178D4">
        <w:rPr>
          <w:rFonts w:ascii="Arial" w:hAnsi="Arial"/>
        </w:rPr>
        <w:t xml:space="preserve">initially </w:t>
      </w:r>
      <w:r w:rsidR="005F5C3A" w:rsidRPr="005F6732">
        <w:rPr>
          <w:rFonts w:ascii="Arial" w:hAnsi="Arial"/>
        </w:rPr>
        <w:t>bring the faculty member to campus on a non-immigra</w:t>
      </w:r>
      <w:r>
        <w:rPr>
          <w:rFonts w:ascii="Arial" w:hAnsi="Arial"/>
        </w:rPr>
        <w:t>nt visa</w:t>
      </w:r>
      <w:r w:rsidR="00B95DE1">
        <w:rPr>
          <w:rFonts w:ascii="Arial" w:hAnsi="Arial"/>
        </w:rPr>
        <w:t xml:space="preserve"> – usually an H1B</w:t>
      </w:r>
      <w:r w:rsidR="00E11008">
        <w:rPr>
          <w:rFonts w:ascii="Arial" w:hAnsi="Arial"/>
        </w:rPr>
        <w:t>,</w:t>
      </w:r>
      <w:r w:rsidR="00B95DE1">
        <w:rPr>
          <w:rFonts w:ascii="Arial" w:hAnsi="Arial"/>
        </w:rPr>
        <w:t xml:space="preserve"> since it will </w:t>
      </w:r>
      <w:r w:rsidR="00E11008">
        <w:rPr>
          <w:rFonts w:ascii="Arial" w:hAnsi="Arial"/>
        </w:rPr>
        <w:t xml:space="preserve">take </w:t>
      </w:r>
      <w:r w:rsidR="00FC2E4F">
        <w:rPr>
          <w:rFonts w:ascii="Arial" w:hAnsi="Arial"/>
        </w:rPr>
        <w:t xml:space="preserve">more </w:t>
      </w:r>
      <w:r w:rsidR="00E11008">
        <w:rPr>
          <w:rFonts w:ascii="Arial" w:hAnsi="Arial"/>
        </w:rPr>
        <w:t xml:space="preserve">than a year </w:t>
      </w:r>
      <w:r w:rsidR="005F5C3A" w:rsidRPr="005F6732">
        <w:rPr>
          <w:rFonts w:ascii="Arial" w:hAnsi="Arial"/>
        </w:rPr>
        <w:t>to obtain permanent residence.  ISSS would be happy to mee</w:t>
      </w:r>
      <w:r w:rsidR="00FC2E4F">
        <w:rPr>
          <w:rFonts w:ascii="Arial" w:hAnsi="Arial"/>
        </w:rPr>
        <w:t>t with any candidates selected as finalists</w:t>
      </w:r>
      <w:r w:rsidR="005F5C3A" w:rsidRPr="005F6732">
        <w:rPr>
          <w:rFonts w:ascii="Arial" w:hAnsi="Arial"/>
        </w:rPr>
        <w:t xml:space="preserve"> to discuss immigration-related issues, including the permanent residency process.   </w:t>
      </w:r>
    </w:p>
    <w:p w:rsidR="005F5C3A" w:rsidRPr="005F6732" w:rsidRDefault="005F5C3A" w:rsidP="005F5C3A">
      <w:pPr>
        <w:spacing w:after="0"/>
        <w:rPr>
          <w:rFonts w:ascii="Arial" w:hAnsi="Arial"/>
        </w:rPr>
      </w:pPr>
    </w:p>
    <w:p w:rsidR="005F5C3A" w:rsidRPr="005F6732" w:rsidRDefault="005F5C3A" w:rsidP="005F5C3A">
      <w:pPr>
        <w:spacing w:after="0"/>
        <w:rPr>
          <w:rFonts w:ascii="Arial" w:hAnsi="Arial"/>
        </w:rPr>
      </w:pPr>
      <w:r w:rsidRPr="005F6732">
        <w:rPr>
          <w:rFonts w:ascii="Arial" w:hAnsi="Arial"/>
        </w:rPr>
        <w:t>A foreign national may ask whether the</w:t>
      </w:r>
      <w:r w:rsidR="00E11008">
        <w:rPr>
          <w:rFonts w:ascii="Arial" w:hAnsi="Arial"/>
        </w:rPr>
        <w:t xml:space="preserve"> University will sponsor them</w:t>
      </w:r>
      <w:r w:rsidRPr="005F6732">
        <w:rPr>
          <w:rFonts w:ascii="Arial" w:hAnsi="Arial"/>
        </w:rPr>
        <w:t xml:space="preserve"> for </w:t>
      </w:r>
      <w:r w:rsidR="00B95DE1">
        <w:rPr>
          <w:rFonts w:ascii="Arial" w:hAnsi="Arial"/>
        </w:rPr>
        <w:t>permanent residency once they are</w:t>
      </w:r>
      <w:r w:rsidRPr="005F6732">
        <w:rPr>
          <w:rFonts w:ascii="Arial" w:hAnsi="Arial"/>
        </w:rPr>
        <w:t xml:space="preserve"> an employee.  A supervisor may also seek to sponsor a foreign national for permanent residency if an international employee has a unique skill set or if the supervisor sees that a long-term employment relationship is in the university’s best interest.  </w:t>
      </w:r>
    </w:p>
    <w:p w:rsidR="005F5C3A" w:rsidRPr="005F6732" w:rsidRDefault="005F5C3A" w:rsidP="005F5C3A">
      <w:pPr>
        <w:spacing w:after="0"/>
        <w:rPr>
          <w:rFonts w:ascii="Arial" w:hAnsi="Arial"/>
        </w:rPr>
      </w:pPr>
    </w:p>
    <w:p w:rsidR="009E7AB4" w:rsidRDefault="005F5C3A" w:rsidP="005F5C3A">
      <w:pPr>
        <w:spacing w:after="0"/>
        <w:rPr>
          <w:rFonts w:ascii="Arial" w:hAnsi="Arial"/>
        </w:rPr>
      </w:pPr>
      <w:r w:rsidRPr="005F6732">
        <w:rPr>
          <w:rFonts w:ascii="Arial" w:hAnsi="Arial"/>
        </w:rPr>
        <w:t>The r</w:t>
      </w:r>
      <w:r w:rsidR="003E7D10">
        <w:rPr>
          <w:rFonts w:ascii="Arial" w:hAnsi="Arial"/>
        </w:rPr>
        <w:t>equest for sponsorship must be made</w:t>
      </w:r>
      <w:r w:rsidRPr="005F6732">
        <w:rPr>
          <w:rFonts w:ascii="Arial" w:hAnsi="Arial"/>
        </w:rPr>
        <w:t xml:space="preserve"> </w:t>
      </w:r>
      <w:r w:rsidR="003E7D10">
        <w:rPr>
          <w:rFonts w:ascii="Arial" w:hAnsi="Arial"/>
        </w:rPr>
        <w:t>by</w:t>
      </w:r>
      <w:r w:rsidRPr="005F6732">
        <w:rPr>
          <w:rFonts w:ascii="Arial" w:hAnsi="Arial"/>
        </w:rPr>
        <w:t xml:space="preserve"> the hiring unit</w:t>
      </w:r>
      <w:r w:rsidR="003E7D10">
        <w:rPr>
          <w:rFonts w:ascii="Arial" w:hAnsi="Arial"/>
        </w:rPr>
        <w:t xml:space="preserve"> </w:t>
      </w:r>
      <w:r w:rsidR="003E7D10" w:rsidRPr="005F6732">
        <w:rPr>
          <w:rFonts w:ascii="Arial" w:hAnsi="Arial"/>
        </w:rPr>
        <w:t>directly</w:t>
      </w:r>
      <w:r w:rsidR="003E7D10">
        <w:rPr>
          <w:rFonts w:ascii="Arial" w:hAnsi="Arial"/>
        </w:rPr>
        <w:t xml:space="preserve"> to ISSS</w:t>
      </w:r>
      <w:r w:rsidRPr="005F6732">
        <w:rPr>
          <w:rFonts w:ascii="Arial" w:hAnsi="Arial"/>
        </w:rPr>
        <w:t>,</w:t>
      </w:r>
      <w:r w:rsidR="003E7D10">
        <w:rPr>
          <w:rFonts w:ascii="Arial" w:hAnsi="Arial"/>
        </w:rPr>
        <w:t xml:space="preserve"> and not by</w:t>
      </w:r>
      <w:r w:rsidRPr="005F6732">
        <w:rPr>
          <w:rFonts w:ascii="Arial" w:hAnsi="Arial"/>
        </w:rPr>
        <w:t xml:space="preserve"> the foreign national.  A hiring unit should consider the follo</w:t>
      </w:r>
      <w:r w:rsidR="00B95DE1">
        <w:rPr>
          <w:rFonts w:ascii="Arial" w:hAnsi="Arial"/>
        </w:rPr>
        <w:t>wing factors before requesting sponsorship</w:t>
      </w:r>
      <w:r w:rsidR="00331641">
        <w:rPr>
          <w:rFonts w:ascii="Arial" w:hAnsi="Arial"/>
        </w:rPr>
        <w:t xml:space="preserve">:  </w:t>
      </w:r>
    </w:p>
    <w:p w:rsidR="009E7AB4" w:rsidRDefault="009E7AB4" w:rsidP="005F5C3A">
      <w:pPr>
        <w:spacing w:after="0"/>
        <w:rPr>
          <w:rFonts w:ascii="Arial" w:hAnsi="Arial"/>
        </w:rPr>
      </w:pPr>
    </w:p>
    <w:p w:rsidR="009E7AB4" w:rsidRPr="009E7AB4" w:rsidRDefault="009E7AB4" w:rsidP="009E7AB4">
      <w:pPr>
        <w:pStyle w:val="ListParagraph"/>
        <w:numPr>
          <w:ilvl w:val="0"/>
          <w:numId w:val="14"/>
        </w:numPr>
        <w:spacing w:after="0"/>
        <w:rPr>
          <w:rFonts w:ascii="Arial" w:hAnsi="Arial"/>
        </w:rPr>
      </w:pPr>
      <w:r w:rsidRPr="009E7AB4">
        <w:rPr>
          <w:rFonts w:ascii="Arial" w:hAnsi="Arial"/>
        </w:rPr>
        <w:t>T</w:t>
      </w:r>
      <w:r w:rsidR="005F5C3A" w:rsidRPr="009E7AB4">
        <w:rPr>
          <w:rFonts w:ascii="Arial" w:hAnsi="Arial"/>
        </w:rPr>
        <w:t xml:space="preserve">he hiring unit’s confidence that funding for the international employee’s position will continue to be available; </w:t>
      </w:r>
    </w:p>
    <w:p w:rsidR="009E7AB4" w:rsidRPr="009E7AB4" w:rsidRDefault="009E7AB4" w:rsidP="009E7AB4">
      <w:pPr>
        <w:pStyle w:val="ListParagraph"/>
        <w:numPr>
          <w:ilvl w:val="0"/>
          <w:numId w:val="14"/>
        </w:numPr>
        <w:spacing w:after="0"/>
        <w:rPr>
          <w:rFonts w:ascii="Arial" w:hAnsi="Arial"/>
        </w:rPr>
      </w:pPr>
      <w:r w:rsidRPr="009E7AB4">
        <w:rPr>
          <w:rFonts w:ascii="Arial" w:hAnsi="Arial"/>
        </w:rPr>
        <w:t>T</w:t>
      </w:r>
      <w:r w:rsidR="005F5C3A" w:rsidRPr="009E7AB4">
        <w:rPr>
          <w:rFonts w:ascii="Arial" w:hAnsi="Arial"/>
        </w:rPr>
        <w:t>he hiring unit’s willingness and ability to pay the costs associated with the permanent residency process (</w:t>
      </w:r>
      <w:r w:rsidR="00FC2E4F" w:rsidRPr="009E7AB4">
        <w:rPr>
          <w:rFonts w:ascii="Arial" w:hAnsi="Arial"/>
        </w:rPr>
        <w:t xml:space="preserve">these could include </w:t>
      </w:r>
      <w:r w:rsidR="005F5C3A" w:rsidRPr="009E7AB4">
        <w:rPr>
          <w:rFonts w:ascii="Arial" w:hAnsi="Arial"/>
        </w:rPr>
        <w:t xml:space="preserve">advertising fees, </w:t>
      </w:r>
      <w:r w:rsidR="001178D4" w:rsidRPr="009E7AB4">
        <w:rPr>
          <w:rFonts w:ascii="Arial" w:hAnsi="Arial"/>
        </w:rPr>
        <w:t xml:space="preserve">USCIS </w:t>
      </w:r>
      <w:r w:rsidR="005F5C3A" w:rsidRPr="009E7AB4">
        <w:rPr>
          <w:rFonts w:ascii="Arial" w:hAnsi="Arial"/>
        </w:rPr>
        <w:t xml:space="preserve">filing fees, </w:t>
      </w:r>
      <w:r w:rsidR="00FC2E4F" w:rsidRPr="009E7AB4">
        <w:rPr>
          <w:rFonts w:ascii="Arial" w:hAnsi="Arial"/>
        </w:rPr>
        <w:t xml:space="preserve">and </w:t>
      </w:r>
      <w:r w:rsidR="001178D4" w:rsidRPr="009E7AB4">
        <w:rPr>
          <w:rFonts w:ascii="Arial" w:hAnsi="Arial"/>
        </w:rPr>
        <w:t xml:space="preserve">attorney </w:t>
      </w:r>
      <w:r w:rsidRPr="009E7AB4">
        <w:rPr>
          <w:rFonts w:ascii="Arial" w:hAnsi="Arial"/>
        </w:rPr>
        <w:t>fees</w:t>
      </w:r>
      <w:r w:rsidR="005F5C3A" w:rsidRPr="009E7AB4">
        <w:rPr>
          <w:rFonts w:ascii="Arial" w:hAnsi="Arial"/>
        </w:rPr>
        <w:t xml:space="preserve">); </w:t>
      </w:r>
    </w:p>
    <w:p w:rsidR="009E7AB4" w:rsidRPr="009E7AB4" w:rsidRDefault="009E7AB4" w:rsidP="009E7AB4">
      <w:pPr>
        <w:pStyle w:val="ListParagraph"/>
        <w:numPr>
          <w:ilvl w:val="0"/>
          <w:numId w:val="14"/>
        </w:numPr>
        <w:spacing w:after="0"/>
        <w:rPr>
          <w:rFonts w:ascii="Arial" w:hAnsi="Arial"/>
        </w:rPr>
      </w:pPr>
      <w:r w:rsidRPr="009E7AB4">
        <w:rPr>
          <w:rFonts w:ascii="Arial" w:hAnsi="Arial"/>
        </w:rPr>
        <w:t>T</w:t>
      </w:r>
      <w:r w:rsidR="005F5C3A" w:rsidRPr="009E7AB4">
        <w:rPr>
          <w:rFonts w:ascii="Arial" w:hAnsi="Arial"/>
        </w:rPr>
        <w:t>he hiring unit’s ability to dedicate administrative staff time and energy to</w:t>
      </w:r>
      <w:r w:rsidR="005F6732" w:rsidRPr="009E7AB4">
        <w:rPr>
          <w:rFonts w:ascii="Arial" w:hAnsi="Arial"/>
        </w:rPr>
        <w:t xml:space="preserve"> </w:t>
      </w:r>
      <w:r w:rsidR="005F5C3A" w:rsidRPr="009E7AB4">
        <w:rPr>
          <w:rFonts w:ascii="Arial" w:hAnsi="Arial"/>
        </w:rPr>
        <w:t xml:space="preserve">the permanent residency process; and </w:t>
      </w:r>
    </w:p>
    <w:p w:rsidR="005F5C3A" w:rsidRPr="009E7AB4" w:rsidRDefault="009E7AB4" w:rsidP="009E7AB4">
      <w:pPr>
        <w:pStyle w:val="ListParagraph"/>
        <w:numPr>
          <w:ilvl w:val="0"/>
          <w:numId w:val="14"/>
        </w:numPr>
        <w:spacing w:after="0"/>
        <w:rPr>
          <w:rFonts w:ascii="Arial" w:hAnsi="Arial"/>
        </w:rPr>
      </w:pPr>
      <w:r w:rsidRPr="009E7AB4">
        <w:rPr>
          <w:rFonts w:ascii="Arial" w:hAnsi="Arial"/>
        </w:rPr>
        <w:t>E</w:t>
      </w:r>
      <w:r w:rsidR="00FC2E4F" w:rsidRPr="009E7AB4">
        <w:rPr>
          <w:rFonts w:ascii="Arial" w:hAnsi="Arial"/>
        </w:rPr>
        <w:t xml:space="preserve">vidence of a </w:t>
      </w:r>
      <w:r w:rsidR="005F5C3A" w:rsidRPr="009E7AB4">
        <w:rPr>
          <w:rFonts w:ascii="Arial" w:hAnsi="Arial"/>
        </w:rPr>
        <w:t>commitment to a long-term employment relationship by both the hiri</w:t>
      </w:r>
      <w:r w:rsidR="00FC2E4F" w:rsidRPr="009E7AB4">
        <w:rPr>
          <w:rFonts w:ascii="Arial" w:hAnsi="Arial"/>
        </w:rPr>
        <w:t>ng unit and the international employee</w:t>
      </w:r>
      <w:r w:rsidR="005F5C3A" w:rsidRPr="009E7AB4">
        <w:rPr>
          <w:rFonts w:ascii="Arial" w:hAnsi="Arial"/>
        </w:rPr>
        <w:t xml:space="preserve">.  </w:t>
      </w:r>
    </w:p>
    <w:p w:rsidR="005F5C3A" w:rsidRPr="005F6732" w:rsidRDefault="005F5C3A" w:rsidP="005F5C3A">
      <w:pPr>
        <w:spacing w:after="0"/>
        <w:rPr>
          <w:rFonts w:ascii="Arial" w:hAnsi="Arial"/>
        </w:rPr>
      </w:pPr>
    </w:p>
    <w:p w:rsidR="005F5C3A" w:rsidRPr="005F6732" w:rsidRDefault="009E7AB4" w:rsidP="005F5C3A">
      <w:pPr>
        <w:spacing w:after="0"/>
        <w:rPr>
          <w:rFonts w:ascii="Arial" w:hAnsi="Arial"/>
        </w:rPr>
      </w:pPr>
      <w:r>
        <w:rPr>
          <w:rFonts w:ascii="Arial" w:hAnsi="Arial"/>
        </w:rPr>
        <w:t>U</w:t>
      </w:r>
      <w:r w:rsidR="005F5C3A" w:rsidRPr="005F6732">
        <w:rPr>
          <w:rFonts w:ascii="Arial" w:hAnsi="Arial"/>
        </w:rPr>
        <w:t xml:space="preserve">niversity sponsorship of an employment-based petition may not be the international employee’s only pathway to legal permanent residence.  If you are unsure about whether or not to </w:t>
      </w:r>
      <w:r w:rsidR="0085066A">
        <w:rPr>
          <w:rFonts w:ascii="Arial" w:hAnsi="Arial"/>
        </w:rPr>
        <w:t xml:space="preserve">request </w:t>
      </w:r>
      <w:r w:rsidR="005F5C3A" w:rsidRPr="005F6732">
        <w:rPr>
          <w:rFonts w:ascii="Arial" w:hAnsi="Arial"/>
        </w:rPr>
        <w:t>sponsor</w:t>
      </w:r>
      <w:r w:rsidR="0085066A">
        <w:rPr>
          <w:rFonts w:ascii="Arial" w:hAnsi="Arial"/>
        </w:rPr>
        <w:t>ship of</w:t>
      </w:r>
      <w:r w:rsidR="005F5C3A" w:rsidRPr="005F6732">
        <w:rPr>
          <w:rFonts w:ascii="Arial" w:hAnsi="Arial"/>
        </w:rPr>
        <w:t xml:space="preserve"> a foreign national, ISSS can help you and the international employee explore the alternatives and evaluate the risks and benefits associated with each option.      </w:t>
      </w:r>
    </w:p>
    <w:p w:rsidR="003211AB" w:rsidRDefault="003211AB" w:rsidP="005F5C3A">
      <w:pPr>
        <w:spacing w:after="0"/>
        <w:rPr>
          <w:rFonts w:ascii="Arial" w:hAnsi="Arial"/>
        </w:rPr>
      </w:pPr>
    </w:p>
    <w:p w:rsidR="00692D6F" w:rsidRDefault="005F5C3A" w:rsidP="0094036C">
      <w:pPr>
        <w:spacing w:after="0"/>
        <w:rPr>
          <w:rFonts w:ascii="Arial" w:hAnsi="Arial"/>
        </w:rPr>
      </w:pPr>
      <w:r w:rsidRPr="005F6732">
        <w:rPr>
          <w:rFonts w:ascii="Arial" w:hAnsi="Arial"/>
        </w:rPr>
        <w:t>ISSS will make the final decision about whether university sponsorship is appropriate</w:t>
      </w:r>
      <w:r w:rsidR="00521BCA" w:rsidRPr="005F6732">
        <w:rPr>
          <w:rFonts w:ascii="Arial" w:hAnsi="Arial"/>
        </w:rPr>
        <w:t xml:space="preserve"> as well as </w:t>
      </w:r>
      <w:r w:rsidRPr="005F6732">
        <w:rPr>
          <w:rFonts w:ascii="Arial" w:hAnsi="Arial"/>
        </w:rPr>
        <w:t xml:space="preserve">the timing and category of such sponsorship.  In some cases, it may be necessary to wait until an international employee has had the opportunity to strengthen his or her credentials or is being promoted to a “permanent” </w:t>
      </w:r>
      <w:r w:rsidR="003D05D6">
        <w:rPr>
          <w:rFonts w:ascii="Arial" w:hAnsi="Arial"/>
        </w:rPr>
        <w:t xml:space="preserve">or higher-ranking </w:t>
      </w:r>
      <w:r w:rsidR="009E7AB4">
        <w:rPr>
          <w:rFonts w:ascii="Arial" w:hAnsi="Arial"/>
        </w:rPr>
        <w:t>position</w:t>
      </w:r>
      <w:r w:rsidRPr="005F6732">
        <w:rPr>
          <w:rFonts w:ascii="Arial" w:hAnsi="Arial"/>
        </w:rPr>
        <w:t xml:space="preserve">. </w:t>
      </w:r>
    </w:p>
    <w:p w:rsidR="00692D6F" w:rsidRDefault="00692D6F" w:rsidP="0094036C">
      <w:pPr>
        <w:spacing w:after="0"/>
        <w:rPr>
          <w:rFonts w:ascii="Arial" w:hAnsi="Arial"/>
        </w:rPr>
      </w:pPr>
    </w:p>
    <w:p w:rsidR="00692D6F" w:rsidRPr="005F6732" w:rsidRDefault="0094036C" w:rsidP="00692D6F">
      <w:pPr>
        <w:spacing w:after="0"/>
        <w:rPr>
          <w:rFonts w:ascii="Arial" w:hAnsi="Arial"/>
        </w:rPr>
      </w:pPr>
      <w:r>
        <w:rPr>
          <w:rFonts w:ascii="Arial" w:hAnsi="Arial"/>
        </w:rPr>
        <w:t>T</w:t>
      </w:r>
      <w:r w:rsidRPr="005F6732">
        <w:rPr>
          <w:rFonts w:ascii="Arial" w:hAnsi="Arial"/>
        </w:rPr>
        <w:t xml:space="preserve">he </w:t>
      </w:r>
      <w:r w:rsidR="0085066A">
        <w:rPr>
          <w:rFonts w:ascii="Arial" w:hAnsi="Arial"/>
        </w:rPr>
        <w:t>i</w:t>
      </w:r>
      <w:r>
        <w:rPr>
          <w:rFonts w:ascii="Arial" w:hAnsi="Arial"/>
        </w:rPr>
        <w:t>nternational employee</w:t>
      </w:r>
      <w:r w:rsidRPr="005F6732">
        <w:rPr>
          <w:rFonts w:ascii="Arial" w:hAnsi="Arial"/>
        </w:rPr>
        <w:t xml:space="preserve"> must hold a regular, full-time position</w:t>
      </w:r>
      <w:r>
        <w:rPr>
          <w:rFonts w:ascii="Arial" w:hAnsi="Arial"/>
        </w:rPr>
        <w:t xml:space="preserve"> to be eligible for employment-based permanent residency</w:t>
      </w:r>
      <w:r w:rsidR="00692D6F">
        <w:rPr>
          <w:rFonts w:ascii="Arial" w:hAnsi="Arial"/>
        </w:rPr>
        <w:t xml:space="preserve">.  </w:t>
      </w:r>
      <w:r w:rsidR="00692D6F" w:rsidRPr="005F6732">
        <w:rPr>
          <w:rFonts w:ascii="Arial" w:hAnsi="Arial"/>
        </w:rPr>
        <w:t xml:space="preserve">The University will not sponsor employment-based applications for </w:t>
      </w:r>
      <w:r w:rsidR="0085066A">
        <w:rPr>
          <w:rFonts w:ascii="Arial" w:hAnsi="Arial"/>
        </w:rPr>
        <w:t>i</w:t>
      </w:r>
      <w:r w:rsidR="00692D6F">
        <w:rPr>
          <w:rFonts w:ascii="Arial" w:hAnsi="Arial"/>
        </w:rPr>
        <w:t>nternational employee</w:t>
      </w:r>
      <w:r w:rsidR="00692D6F" w:rsidRPr="005F6732">
        <w:rPr>
          <w:rFonts w:ascii="Arial" w:hAnsi="Arial"/>
        </w:rPr>
        <w:t xml:space="preserve">s holding temporary positions such as postdoctoral fellows or visiting </w:t>
      </w:r>
      <w:r w:rsidR="00692D6F">
        <w:rPr>
          <w:rFonts w:ascii="Arial" w:hAnsi="Arial"/>
        </w:rPr>
        <w:t>international employee</w:t>
      </w:r>
      <w:r w:rsidR="00692D6F" w:rsidRPr="005F6732">
        <w:rPr>
          <w:rFonts w:ascii="Arial" w:hAnsi="Arial"/>
        </w:rPr>
        <w:t xml:space="preserve">s.  </w:t>
      </w:r>
    </w:p>
    <w:p w:rsidR="0094036C" w:rsidRPr="005F6732" w:rsidRDefault="0094036C" w:rsidP="0094036C">
      <w:pPr>
        <w:spacing w:after="0"/>
        <w:rPr>
          <w:rFonts w:ascii="Arial" w:hAnsi="Arial"/>
        </w:rPr>
      </w:pPr>
    </w:p>
    <w:p w:rsidR="0094036C" w:rsidRDefault="005F5C3A" w:rsidP="005F5C3A">
      <w:pPr>
        <w:spacing w:after="0"/>
        <w:rPr>
          <w:rFonts w:ascii="Arial" w:hAnsi="Arial"/>
        </w:rPr>
      </w:pPr>
      <w:r w:rsidRPr="005F6732">
        <w:rPr>
          <w:rFonts w:ascii="Arial" w:hAnsi="Arial"/>
        </w:rPr>
        <w:t>Determining the right time to apply depends on two pr</w:t>
      </w:r>
      <w:r w:rsidR="003D05D6">
        <w:rPr>
          <w:rFonts w:ascii="Arial" w:hAnsi="Arial"/>
        </w:rPr>
        <w:t xml:space="preserve">imary factors:  </w:t>
      </w:r>
    </w:p>
    <w:p w:rsidR="00692D6F" w:rsidRDefault="00692D6F" w:rsidP="005F5C3A">
      <w:pPr>
        <w:spacing w:after="0"/>
        <w:rPr>
          <w:rFonts w:ascii="Arial" w:hAnsi="Arial"/>
        </w:rPr>
      </w:pPr>
    </w:p>
    <w:p w:rsidR="0094036C" w:rsidRPr="00692D6F" w:rsidRDefault="00692D6F" w:rsidP="00692D6F">
      <w:pPr>
        <w:pStyle w:val="ListParagraph"/>
        <w:numPr>
          <w:ilvl w:val="0"/>
          <w:numId w:val="15"/>
        </w:numPr>
        <w:spacing w:after="0"/>
        <w:rPr>
          <w:rFonts w:ascii="Arial" w:hAnsi="Arial"/>
        </w:rPr>
      </w:pPr>
      <w:r w:rsidRPr="00692D6F">
        <w:rPr>
          <w:rFonts w:ascii="Arial" w:hAnsi="Arial"/>
        </w:rPr>
        <w:t>W</w:t>
      </w:r>
      <w:r w:rsidR="003D05D6" w:rsidRPr="00692D6F">
        <w:rPr>
          <w:rFonts w:ascii="Arial" w:hAnsi="Arial"/>
        </w:rPr>
        <w:t>hether the international employee</w:t>
      </w:r>
      <w:r w:rsidR="005F5C3A" w:rsidRPr="00692D6F">
        <w:rPr>
          <w:rFonts w:ascii="Arial" w:hAnsi="Arial"/>
        </w:rPr>
        <w:t xml:space="preserve"> has a “permanent” position with the University</w:t>
      </w:r>
      <w:r w:rsidR="003D05D6" w:rsidRPr="00692D6F">
        <w:rPr>
          <w:rFonts w:ascii="Arial" w:hAnsi="Arial"/>
        </w:rPr>
        <w:t xml:space="preserve"> that is at a hig</w:t>
      </w:r>
      <w:r w:rsidRPr="00692D6F">
        <w:rPr>
          <w:rFonts w:ascii="Arial" w:hAnsi="Arial"/>
        </w:rPr>
        <w:t>h enough level to expect that they</w:t>
      </w:r>
      <w:r w:rsidR="003D05D6" w:rsidRPr="00692D6F">
        <w:rPr>
          <w:rFonts w:ascii="Arial" w:hAnsi="Arial"/>
        </w:rPr>
        <w:t xml:space="preserve"> will reasonably remain in that position</w:t>
      </w:r>
      <w:r w:rsidRPr="00692D6F">
        <w:rPr>
          <w:rFonts w:ascii="Arial" w:hAnsi="Arial"/>
        </w:rPr>
        <w:t xml:space="preserve"> until they are able to adjust to permanent residency (given current backlogs for immigrant visas, this can be years)</w:t>
      </w:r>
      <w:r w:rsidR="005F5C3A" w:rsidRPr="00692D6F">
        <w:rPr>
          <w:rFonts w:ascii="Arial" w:hAnsi="Arial"/>
        </w:rPr>
        <w:t xml:space="preserve">; and </w:t>
      </w:r>
    </w:p>
    <w:p w:rsidR="00692D6F" w:rsidRPr="00692D6F" w:rsidRDefault="00692D6F" w:rsidP="00692D6F">
      <w:pPr>
        <w:pStyle w:val="ListParagraph"/>
        <w:numPr>
          <w:ilvl w:val="0"/>
          <w:numId w:val="15"/>
        </w:numPr>
        <w:spacing w:after="0"/>
        <w:rPr>
          <w:rFonts w:ascii="Arial" w:hAnsi="Arial"/>
        </w:rPr>
      </w:pPr>
      <w:r w:rsidRPr="00692D6F">
        <w:rPr>
          <w:rFonts w:ascii="Arial" w:hAnsi="Arial"/>
        </w:rPr>
        <w:t>T</w:t>
      </w:r>
      <w:r w:rsidR="005F5C3A" w:rsidRPr="00692D6F">
        <w:rPr>
          <w:rFonts w:ascii="Arial" w:hAnsi="Arial"/>
        </w:rPr>
        <w:t xml:space="preserve">he visa status the </w:t>
      </w:r>
      <w:r w:rsidR="003D05D6" w:rsidRPr="00692D6F">
        <w:rPr>
          <w:rFonts w:ascii="Arial" w:hAnsi="Arial"/>
        </w:rPr>
        <w:t>international employee</w:t>
      </w:r>
      <w:r w:rsidR="005F5C3A" w:rsidRPr="00692D6F">
        <w:rPr>
          <w:rFonts w:ascii="Arial" w:hAnsi="Arial"/>
        </w:rPr>
        <w:t xml:space="preserve"> currently holds</w:t>
      </w:r>
      <w:r w:rsidR="003D05D6" w:rsidRPr="00692D6F">
        <w:rPr>
          <w:rFonts w:ascii="Arial" w:hAnsi="Arial"/>
        </w:rPr>
        <w:t xml:space="preserve"> and the remainin</w:t>
      </w:r>
      <w:r w:rsidRPr="00692D6F">
        <w:rPr>
          <w:rFonts w:ascii="Arial" w:hAnsi="Arial"/>
        </w:rPr>
        <w:t>g eligibility time that they have</w:t>
      </w:r>
      <w:r w:rsidR="003D05D6" w:rsidRPr="00692D6F">
        <w:rPr>
          <w:rFonts w:ascii="Arial" w:hAnsi="Arial"/>
        </w:rPr>
        <w:t xml:space="preserve"> in that status</w:t>
      </w:r>
      <w:r w:rsidR="005F5C3A" w:rsidRPr="00692D6F">
        <w:rPr>
          <w:rFonts w:ascii="Arial" w:hAnsi="Arial"/>
        </w:rPr>
        <w:t xml:space="preserve">.  </w:t>
      </w:r>
    </w:p>
    <w:p w:rsidR="00692D6F" w:rsidRDefault="00692D6F" w:rsidP="005F5C3A">
      <w:pPr>
        <w:spacing w:after="0"/>
        <w:rPr>
          <w:rFonts w:ascii="Arial" w:hAnsi="Arial"/>
        </w:rPr>
      </w:pPr>
    </w:p>
    <w:p w:rsidR="00EE27A4" w:rsidRPr="00A23CDC" w:rsidRDefault="005F5C3A" w:rsidP="00A23CDC">
      <w:pPr>
        <w:autoSpaceDE w:val="0"/>
        <w:autoSpaceDN w:val="0"/>
        <w:adjustRightInd w:val="0"/>
        <w:rPr>
          <w:rFonts w:ascii="Arial" w:hAnsi="Arial" w:cs="Arial"/>
        </w:rPr>
      </w:pPr>
      <w:r w:rsidRPr="005F6732">
        <w:rPr>
          <w:rFonts w:ascii="Arial" w:hAnsi="Arial"/>
        </w:rPr>
        <w:t>Most often, the employees whom the University sponsors for permanent residency a</w:t>
      </w:r>
      <w:r w:rsidR="006267D8">
        <w:rPr>
          <w:rFonts w:ascii="Arial" w:hAnsi="Arial"/>
        </w:rPr>
        <w:t>re already in H-1B status.  Unlike most non-immigrant visa categories, the H-1B visa</w:t>
      </w:r>
      <w:r w:rsidRPr="005F6732">
        <w:rPr>
          <w:rFonts w:ascii="Arial" w:hAnsi="Arial"/>
        </w:rPr>
        <w:t xml:space="preserve"> category permits a foreign national to</w:t>
      </w:r>
      <w:r w:rsidR="006267D8">
        <w:rPr>
          <w:rFonts w:ascii="Arial" w:hAnsi="Arial"/>
        </w:rPr>
        <w:t xml:space="preserve"> work in the U.S. with clear “immigrant intent</w:t>
      </w:r>
      <w:r w:rsidRPr="005F6732">
        <w:rPr>
          <w:rFonts w:ascii="Arial" w:hAnsi="Arial"/>
        </w:rPr>
        <w:t>”</w:t>
      </w:r>
      <w:r w:rsidR="006267D8">
        <w:rPr>
          <w:rFonts w:ascii="Arial" w:hAnsi="Arial"/>
        </w:rPr>
        <w:t xml:space="preserve"> </w:t>
      </w:r>
      <w:r w:rsidR="0085066A">
        <w:rPr>
          <w:rFonts w:ascii="Arial" w:hAnsi="Arial"/>
        </w:rPr>
        <w:t xml:space="preserve">– the </w:t>
      </w:r>
      <w:r w:rsidR="006267D8">
        <w:rPr>
          <w:rFonts w:ascii="Arial" w:hAnsi="Arial"/>
        </w:rPr>
        <w:t>intention to remain in the U.S. permanently.</w:t>
      </w:r>
      <w:r w:rsidRPr="005F6732">
        <w:rPr>
          <w:rFonts w:ascii="Arial" w:hAnsi="Arial"/>
        </w:rPr>
        <w:t xml:space="preserve">  </w:t>
      </w:r>
      <w:r w:rsidR="006A6961">
        <w:rPr>
          <w:rFonts w:ascii="Arial" w:hAnsi="Arial" w:cs="Arial"/>
        </w:rPr>
        <w:t>A set of r</w:t>
      </w:r>
      <w:r w:rsidR="006A6961" w:rsidRPr="006A6961">
        <w:rPr>
          <w:rFonts w:ascii="Arial" w:hAnsi="Arial" w:cs="Arial"/>
        </w:rPr>
        <w:t>egulations entitled “Retention of EB-1, EB-2, and EB-3 Immigrant Workers and Program Improvements Affecting Highly-Skilled Nonimmigrant</w:t>
      </w:r>
      <w:r w:rsidR="006A6961">
        <w:rPr>
          <w:rFonts w:ascii="Arial" w:hAnsi="Arial" w:cs="Arial"/>
        </w:rPr>
        <w:t xml:space="preserve"> Workers</w:t>
      </w:r>
      <w:r w:rsidR="006A6961" w:rsidRPr="006A6961">
        <w:rPr>
          <w:rFonts w:ascii="Arial" w:hAnsi="Arial" w:cs="Arial"/>
        </w:rPr>
        <w:t>”</w:t>
      </w:r>
      <w:r w:rsidR="006A6961">
        <w:rPr>
          <w:rFonts w:ascii="Arial" w:hAnsi="Arial" w:cs="Arial"/>
        </w:rPr>
        <w:t xml:space="preserve"> went into effect on January 17, 2017</w:t>
      </w:r>
      <w:r w:rsidRPr="006A6961">
        <w:rPr>
          <w:rFonts w:ascii="Arial" w:hAnsi="Arial" w:cs="Arial"/>
        </w:rPr>
        <w:t>.</w:t>
      </w:r>
      <w:r w:rsidR="006A6961">
        <w:rPr>
          <w:rFonts w:ascii="Arial" w:hAnsi="Arial" w:cs="Arial"/>
        </w:rPr>
        <w:t xml:space="preserve">  This rule provides for an extension of H1B status beyond the us</w:t>
      </w:r>
      <w:r w:rsidR="00A23CDC">
        <w:rPr>
          <w:rFonts w:ascii="Arial" w:hAnsi="Arial" w:cs="Arial"/>
        </w:rPr>
        <w:t>ual 6 year eligibility period</w:t>
      </w:r>
      <w:r w:rsidR="006A6961">
        <w:rPr>
          <w:rFonts w:ascii="Arial" w:hAnsi="Arial" w:cs="Arial"/>
        </w:rPr>
        <w:t xml:space="preserve"> </w:t>
      </w:r>
      <w:r w:rsidR="00A23CDC">
        <w:rPr>
          <w:rFonts w:ascii="Arial" w:hAnsi="Arial" w:cs="Arial"/>
        </w:rPr>
        <w:t>as outlined below.</w:t>
      </w:r>
    </w:p>
    <w:p w:rsidR="0085066A" w:rsidRDefault="0085066A">
      <w:pPr>
        <w:spacing w:after="0" w:line="240" w:lineRule="auto"/>
        <w:rPr>
          <w:rFonts w:ascii="Arial" w:hAnsi="Arial"/>
          <w:b/>
          <w:u w:val="single"/>
        </w:rPr>
      </w:pPr>
      <w:r>
        <w:rPr>
          <w:rFonts w:ascii="Arial" w:hAnsi="Arial"/>
          <w:b/>
          <w:u w:val="single"/>
        </w:rPr>
        <w:br w:type="page"/>
      </w:r>
    </w:p>
    <w:p w:rsidR="00EE27A4" w:rsidRDefault="00EE27A4" w:rsidP="0085066A">
      <w:pPr>
        <w:spacing w:after="0" w:line="240" w:lineRule="auto"/>
        <w:rPr>
          <w:rFonts w:ascii="Arial" w:hAnsi="Arial"/>
          <w:b/>
          <w:u w:val="single"/>
        </w:rPr>
      </w:pPr>
      <w:r>
        <w:rPr>
          <w:rFonts w:ascii="Arial" w:hAnsi="Arial"/>
          <w:b/>
          <w:u w:val="single"/>
        </w:rPr>
        <w:lastRenderedPageBreak/>
        <w:t>One Year Extension</w:t>
      </w:r>
      <w:r w:rsidRPr="00EE27A4">
        <w:rPr>
          <w:rFonts w:ascii="Arial" w:hAnsi="Arial"/>
          <w:b/>
          <w:u w:val="single"/>
        </w:rPr>
        <w:t xml:space="preserve"> of H1B Status</w:t>
      </w:r>
    </w:p>
    <w:p w:rsidR="00EE27A4" w:rsidRDefault="00EE27A4" w:rsidP="005F5C3A">
      <w:pPr>
        <w:spacing w:after="0"/>
        <w:rPr>
          <w:rFonts w:ascii="Arial" w:hAnsi="Arial"/>
        </w:rPr>
      </w:pPr>
      <w:r w:rsidRPr="00EE27A4">
        <w:rPr>
          <w:rFonts w:ascii="Arial" w:hAnsi="Arial"/>
        </w:rPr>
        <w:t>8 CFR 214.2(h)(</w:t>
      </w:r>
      <w:proofErr w:type="gramStart"/>
      <w:r w:rsidRPr="00EE27A4">
        <w:rPr>
          <w:rFonts w:ascii="Arial" w:hAnsi="Arial"/>
        </w:rPr>
        <w:t>13)(</w:t>
      </w:r>
      <w:proofErr w:type="gramEnd"/>
      <w:r w:rsidRPr="00EE27A4">
        <w:rPr>
          <w:rFonts w:ascii="Arial" w:hAnsi="Arial"/>
        </w:rPr>
        <w:t>iii)(D)</w:t>
      </w:r>
    </w:p>
    <w:p w:rsidR="00EE27A4" w:rsidRDefault="00EE27A4" w:rsidP="00EE27A4">
      <w:pPr>
        <w:pStyle w:val="ListParagraph"/>
        <w:numPr>
          <w:ilvl w:val="0"/>
          <w:numId w:val="10"/>
        </w:numPr>
        <w:spacing w:after="0"/>
        <w:rPr>
          <w:rFonts w:ascii="Arial" w:hAnsi="Arial"/>
        </w:rPr>
      </w:pPr>
      <w:r>
        <w:rPr>
          <w:rFonts w:ascii="Arial" w:hAnsi="Arial"/>
        </w:rPr>
        <w:t>An H1B employee is eligible for one year extensions of H1B status beyond the 6</w:t>
      </w:r>
      <w:r w:rsidRPr="00EE27A4">
        <w:rPr>
          <w:rFonts w:ascii="Arial" w:hAnsi="Arial"/>
          <w:vertAlign w:val="superscript"/>
        </w:rPr>
        <w:t>th</w:t>
      </w:r>
      <w:r>
        <w:rPr>
          <w:rFonts w:ascii="Arial" w:hAnsi="Arial"/>
        </w:rPr>
        <w:t xml:space="preserve"> year if t</w:t>
      </w:r>
      <w:r w:rsidR="005F5C3A" w:rsidRPr="00EE27A4">
        <w:rPr>
          <w:rFonts w:ascii="Arial" w:hAnsi="Arial"/>
        </w:rPr>
        <w:t xml:space="preserve">he first </w:t>
      </w:r>
      <w:r>
        <w:rPr>
          <w:rFonts w:ascii="Arial" w:hAnsi="Arial"/>
        </w:rPr>
        <w:t xml:space="preserve">step in the LPR process is </w:t>
      </w:r>
      <w:r w:rsidR="005F5C3A" w:rsidRPr="00EE27A4">
        <w:rPr>
          <w:rFonts w:ascii="Arial" w:hAnsi="Arial"/>
        </w:rPr>
        <w:t>s</w:t>
      </w:r>
      <w:r w:rsidR="003D05D6" w:rsidRPr="00EE27A4">
        <w:rPr>
          <w:rFonts w:ascii="Arial" w:hAnsi="Arial"/>
        </w:rPr>
        <w:t xml:space="preserve">ubmitted </w:t>
      </w:r>
      <w:r w:rsidRPr="00EE27A4">
        <w:rPr>
          <w:rFonts w:ascii="Arial" w:hAnsi="Arial"/>
        </w:rPr>
        <w:t xml:space="preserve">to the U.S. Department of Labor or filed with USCIS, depending on the category chosen, while the employee still has 365 days or more of H1B status remaining.  </w:t>
      </w:r>
      <w:r w:rsidR="003D05D6" w:rsidRPr="00EE27A4">
        <w:rPr>
          <w:rFonts w:ascii="Arial" w:hAnsi="Arial"/>
        </w:rPr>
        <w:t xml:space="preserve"> </w:t>
      </w:r>
    </w:p>
    <w:p w:rsidR="00EE27A4" w:rsidRDefault="00EE27A4" w:rsidP="00EE27A4">
      <w:pPr>
        <w:pStyle w:val="ListParagraph"/>
        <w:numPr>
          <w:ilvl w:val="0"/>
          <w:numId w:val="10"/>
        </w:numPr>
        <w:spacing w:after="0"/>
        <w:rPr>
          <w:rFonts w:ascii="Arial" w:hAnsi="Arial"/>
        </w:rPr>
      </w:pPr>
      <w:r>
        <w:rPr>
          <w:rFonts w:ascii="Arial" w:hAnsi="Arial"/>
        </w:rPr>
        <w:t xml:space="preserve">An employee becomes ineligible for further extensions of their H1B status if they fail to file an Adjustment of Status </w:t>
      </w:r>
      <w:r w:rsidR="0085066A">
        <w:rPr>
          <w:rFonts w:ascii="Arial" w:hAnsi="Arial"/>
        </w:rPr>
        <w:t>application within one (1)</w:t>
      </w:r>
      <w:r>
        <w:rPr>
          <w:rFonts w:ascii="Arial" w:hAnsi="Arial"/>
        </w:rPr>
        <w:t xml:space="preserve"> year of their priority date becoming current.</w:t>
      </w:r>
    </w:p>
    <w:p w:rsidR="00EE27A4" w:rsidRDefault="00EE27A4" w:rsidP="00EE27A4">
      <w:pPr>
        <w:spacing w:after="0"/>
        <w:rPr>
          <w:rFonts w:ascii="Arial" w:hAnsi="Arial"/>
        </w:rPr>
      </w:pPr>
    </w:p>
    <w:p w:rsidR="00EE27A4" w:rsidRDefault="00EE27A4" w:rsidP="00EE27A4">
      <w:pPr>
        <w:spacing w:after="0"/>
        <w:rPr>
          <w:rFonts w:ascii="Arial" w:hAnsi="Arial"/>
          <w:b/>
          <w:u w:val="single"/>
        </w:rPr>
      </w:pPr>
      <w:r w:rsidRPr="00EE27A4">
        <w:rPr>
          <w:rFonts w:ascii="Arial" w:hAnsi="Arial"/>
          <w:b/>
          <w:u w:val="single"/>
        </w:rPr>
        <w:t>Three Year Extension of H1B Status</w:t>
      </w:r>
    </w:p>
    <w:p w:rsidR="00EE27A4" w:rsidRDefault="00EE27A4" w:rsidP="005F5C3A">
      <w:pPr>
        <w:spacing w:after="0"/>
        <w:rPr>
          <w:rFonts w:ascii="Arial" w:hAnsi="Arial"/>
        </w:rPr>
      </w:pPr>
      <w:r>
        <w:rPr>
          <w:rFonts w:ascii="Arial" w:hAnsi="Arial"/>
        </w:rPr>
        <w:t>8 CFR 214.2(h)(</w:t>
      </w:r>
      <w:proofErr w:type="gramStart"/>
      <w:r>
        <w:rPr>
          <w:rFonts w:ascii="Arial" w:hAnsi="Arial"/>
        </w:rPr>
        <w:t>13)(</w:t>
      </w:r>
      <w:proofErr w:type="gramEnd"/>
      <w:r>
        <w:rPr>
          <w:rFonts w:ascii="Arial" w:hAnsi="Arial"/>
        </w:rPr>
        <w:t>iii)(E</w:t>
      </w:r>
      <w:r w:rsidRPr="00EE27A4">
        <w:rPr>
          <w:rFonts w:ascii="Arial" w:hAnsi="Arial"/>
        </w:rPr>
        <w:t>)</w:t>
      </w:r>
    </w:p>
    <w:p w:rsidR="005F5C3A" w:rsidRPr="00EE27A4" w:rsidRDefault="00EE27A4" w:rsidP="00EE27A4">
      <w:pPr>
        <w:pStyle w:val="ListParagraph"/>
        <w:numPr>
          <w:ilvl w:val="0"/>
          <w:numId w:val="11"/>
        </w:numPr>
        <w:spacing w:after="0"/>
        <w:rPr>
          <w:rFonts w:ascii="Arial" w:hAnsi="Arial"/>
        </w:rPr>
      </w:pPr>
      <w:r>
        <w:rPr>
          <w:rFonts w:ascii="Arial" w:hAnsi="Arial"/>
        </w:rPr>
        <w:t xml:space="preserve">An H1B employee is eligible for extensions of up to three (3) years </w:t>
      </w:r>
      <w:r w:rsidR="003255D0" w:rsidRPr="00EE27A4">
        <w:rPr>
          <w:rFonts w:ascii="Arial" w:hAnsi="Arial"/>
        </w:rPr>
        <w:t>beyond the 6</w:t>
      </w:r>
      <w:r w:rsidR="003255D0" w:rsidRPr="00EE27A4">
        <w:rPr>
          <w:rFonts w:ascii="Arial" w:hAnsi="Arial"/>
          <w:vertAlign w:val="superscript"/>
        </w:rPr>
        <w:t>th</w:t>
      </w:r>
      <w:r w:rsidR="003255D0" w:rsidRPr="00EE27A4">
        <w:rPr>
          <w:rFonts w:ascii="Arial" w:hAnsi="Arial"/>
        </w:rPr>
        <w:t xml:space="preserve"> year if we have</w:t>
      </w:r>
      <w:r w:rsidR="005F5C3A" w:rsidRPr="00EE27A4">
        <w:rPr>
          <w:rFonts w:ascii="Arial" w:hAnsi="Arial"/>
        </w:rPr>
        <w:t xml:space="preserve"> an approved I-140</w:t>
      </w:r>
      <w:r w:rsidR="003255D0" w:rsidRPr="00EE27A4">
        <w:rPr>
          <w:rFonts w:ascii="Arial" w:hAnsi="Arial"/>
        </w:rPr>
        <w:t xml:space="preserve"> and</w:t>
      </w:r>
      <w:r w:rsidR="005F5C3A" w:rsidRPr="00EE27A4">
        <w:rPr>
          <w:rFonts w:ascii="Arial" w:hAnsi="Arial"/>
        </w:rPr>
        <w:t xml:space="preserve"> </w:t>
      </w:r>
      <w:r w:rsidR="003255D0" w:rsidRPr="00EE27A4">
        <w:rPr>
          <w:rFonts w:ascii="Arial" w:hAnsi="Arial"/>
        </w:rPr>
        <w:t xml:space="preserve">the person is unable to immediately adjust to permanent residency because </w:t>
      </w:r>
      <w:r w:rsidR="005F5C3A" w:rsidRPr="00EE27A4">
        <w:rPr>
          <w:rFonts w:ascii="Arial" w:hAnsi="Arial"/>
        </w:rPr>
        <w:t>no immigrant visa number</w:t>
      </w:r>
      <w:r w:rsidR="003255D0" w:rsidRPr="00EE27A4">
        <w:rPr>
          <w:rFonts w:ascii="Arial" w:hAnsi="Arial"/>
        </w:rPr>
        <w:t xml:space="preserve"> is available. </w:t>
      </w:r>
      <w:r w:rsidR="005F5C3A" w:rsidRPr="00EE27A4">
        <w:rPr>
          <w:rFonts w:ascii="Arial" w:hAnsi="Arial"/>
        </w:rPr>
        <w:t xml:space="preserve">     </w:t>
      </w:r>
    </w:p>
    <w:p w:rsidR="005F5C3A" w:rsidRPr="005F6732" w:rsidRDefault="005F5C3A" w:rsidP="0098707D">
      <w:pPr>
        <w:spacing w:after="0"/>
        <w:rPr>
          <w:rFonts w:ascii="Arial" w:hAnsi="Arial"/>
        </w:rPr>
      </w:pPr>
    </w:p>
    <w:p w:rsidR="0098707D" w:rsidRPr="005F6732" w:rsidRDefault="008F7324" w:rsidP="0098707D">
      <w:pPr>
        <w:spacing w:after="0"/>
        <w:rPr>
          <w:rFonts w:ascii="Arial" w:hAnsi="Arial"/>
        </w:rPr>
      </w:pPr>
      <w:r w:rsidRPr="005F6732">
        <w:rPr>
          <w:rFonts w:ascii="Arial" w:hAnsi="Arial"/>
        </w:rPr>
        <w:t xml:space="preserve">The employment-based categories </w:t>
      </w:r>
      <w:r w:rsidR="0098707D" w:rsidRPr="005F6732">
        <w:rPr>
          <w:rFonts w:ascii="Arial" w:hAnsi="Arial"/>
        </w:rPr>
        <w:t xml:space="preserve">for which ISSS </w:t>
      </w:r>
      <w:r w:rsidR="000F5E2D" w:rsidRPr="005F6732">
        <w:rPr>
          <w:rFonts w:ascii="Arial" w:hAnsi="Arial"/>
        </w:rPr>
        <w:t>provides assistance are outlined in the table below</w:t>
      </w:r>
      <w:r w:rsidRPr="005F6732">
        <w:rPr>
          <w:rFonts w:ascii="Arial" w:hAnsi="Arial"/>
        </w:rPr>
        <w:t>.</w:t>
      </w:r>
      <w:r w:rsidR="0098707D" w:rsidRPr="005F6732">
        <w:rPr>
          <w:rFonts w:ascii="Arial" w:hAnsi="Arial"/>
        </w:rPr>
        <w:t xml:space="preserve">  </w:t>
      </w:r>
    </w:p>
    <w:p w:rsidR="00521BCA" w:rsidRPr="005F6732" w:rsidRDefault="00521BCA">
      <w:pPr>
        <w:spacing w:after="0" w:line="240" w:lineRule="auto"/>
        <w:rPr>
          <w:rFonts w:ascii="Arial" w:hAnsi="Arial" w:cs="Arial"/>
          <w:b/>
        </w:rPr>
      </w:pPr>
    </w:p>
    <w:p w:rsidR="006267D8" w:rsidRDefault="00345C57" w:rsidP="0085066A">
      <w:pPr>
        <w:spacing w:after="0" w:line="240" w:lineRule="auto"/>
        <w:jc w:val="center"/>
        <w:rPr>
          <w:rFonts w:ascii="Arial" w:hAnsi="Arial" w:cs="Arial"/>
          <w:b/>
        </w:rPr>
      </w:pPr>
      <w:r w:rsidRPr="005F6732">
        <w:rPr>
          <w:rFonts w:ascii="Arial" w:hAnsi="Arial" w:cs="Arial"/>
          <w:b/>
        </w:rPr>
        <w:t>Options for Employment-Based Permanent Residence</w:t>
      </w:r>
    </w:p>
    <w:p w:rsidR="000F5E2D" w:rsidRPr="005F6732" w:rsidRDefault="00345C57" w:rsidP="006267D8">
      <w:pPr>
        <w:spacing w:after="0" w:line="240" w:lineRule="auto"/>
        <w:rPr>
          <w:rFonts w:ascii="Arial" w:hAnsi="Arial" w:cs="Arial"/>
          <w:b/>
        </w:rPr>
      </w:pPr>
      <w:r w:rsidRPr="005F6732">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71"/>
        <w:gridCol w:w="3888"/>
      </w:tblGrid>
      <w:tr w:rsidR="000F5E2D" w:rsidRPr="005F6732" w:rsidTr="0093073E">
        <w:trPr>
          <w:trHeight w:val="341"/>
        </w:trPr>
        <w:tc>
          <w:tcPr>
            <w:tcW w:w="0" w:type="auto"/>
          </w:tcPr>
          <w:p w:rsidR="000F5E2D" w:rsidRPr="005F6732" w:rsidRDefault="00345C57" w:rsidP="002C5003">
            <w:pPr>
              <w:jc w:val="center"/>
              <w:rPr>
                <w:rFonts w:ascii="Arial" w:hAnsi="Arial" w:cs="Arial"/>
                <w:b/>
                <w:sz w:val="20"/>
                <w:szCs w:val="20"/>
              </w:rPr>
            </w:pPr>
            <w:r w:rsidRPr="005F6732">
              <w:rPr>
                <w:rFonts w:ascii="Arial" w:hAnsi="Arial" w:cs="Arial"/>
                <w:b/>
                <w:sz w:val="20"/>
                <w:szCs w:val="20"/>
              </w:rPr>
              <w:t>Category</w:t>
            </w:r>
          </w:p>
        </w:tc>
        <w:tc>
          <w:tcPr>
            <w:tcW w:w="4171" w:type="dxa"/>
          </w:tcPr>
          <w:p w:rsidR="000F5E2D" w:rsidRPr="005F6732" w:rsidRDefault="000F5E2D" w:rsidP="002C5003">
            <w:pPr>
              <w:jc w:val="center"/>
              <w:rPr>
                <w:rFonts w:ascii="Arial" w:hAnsi="Arial" w:cs="Arial"/>
                <w:b/>
                <w:sz w:val="20"/>
                <w:szCs w:val="20"/>
              </w:rPr>
            </w:pPr>
            <w:r w:rsidRPr="005F6732">
              <w:rPr>
                <w:rFonts w:ascii="Arial" w:hAnsi="Arial" w:cs="Arial"/>
                <w:b/>
                <w:sz w:val="20"/>
                <w:szCs w:val="20"/>
              </w:rPr>
              <w:t>Appropriate For</w:t>
            </w:r>
          </w:p>
        </w:tc>
        <w:tc>
          <w:tcPr>
            <w:tcW w:w="3888" w:type="dxa"/>
          </w:tcPr>
          <w:p w:rsidR="000F5E2D" w:rsidRPr="005F6732" w:rsidRDefault="000F5E2D" w:rsidP="002C5003">
            <w:pPr>
              <w:jc w:val="center"/>
              <w:rPr>
                <w:rFonts w:ascii="Arial" w:hAnsi="Arial" w:cs="Arial"/>
                <w:b/>
                <w:sz w:val="20"/>
                <w:szCs w:val="20"/>
              </w:rPr>
            </w:pPr>
            <w:r w:rsidRPr="005F6732">
              <w:rPr>
                <w:rFonts w:ascii="Arial" w:hAnsi="Arial" w:cs="Arial"/>
                <w:b/>
                <w:sz w:val="20"/>
                <w:szCs w:val="20"/>
              </w:rPr>
              <w:t>Factors to Consider</w:t>
            </w:r>
          </w:p>
        </w:tc>
      </w:tr>
      <w:tr w:rsidR="000F5E2D" w:rsidRPr="005F6732" w:rsidTr="0093073E">
        <w:trPr>
          <w:trHeight w:val="1862"/>
        </w:trPr>
        <w:tc>
          <w:tcPr>
            <w:tcW w:w="0" w:type="auto"/>
          </w:tcPr>
          <w:p w:rsidR="00345C57" w:rsidRPr="005F6732" w:rsidRDefault="00345C57" w:rsidP="00345C57">
            <w:pPr>
              <w:spacing w:after="0" w:line="240" w:lineRule="auto"/>
              <w:jc w:val="center"/>
              <w:rPr>
                <w:rFonts w:ascii="Arial" w:hAnsi="Arial" w:cs="Arial"/>
                <w:b/>
                <w:sz w:val="20"/>
                <w:szCs w:val="20"/>
              </w:rPr>
            </w:pPr>
            <w:r w:rsidRPr="005F6732">
              <w:rPr>
                <w:rFonts w:ascii="Arial" w:hAnsi="Arial" w:cs="Arial"/>
                <w:b/>
                <w:sz w:val="20"/>
                <w:szCs w:val="20"/>
              </w:rPr>
              <w:t xml:space="preserve">Employment-Based First Preference </w:t>
            </w:r>
          </w:p>
          <w:p w:rsidR="00345C57" w:rsidRPr="005F6732" w:rsidRDefault="00345C57" w:rsidP="00345C57">
            <w:pPr>
              <w:spacing w:after="0" w:line="240" w:lineRule="auto"/>
              <w:jc w:val="center"/>
              <w:rPr>
                <w:rFonts w:ascii="Arial" w:hAnsi="Arial" w:cs="Arial"/>
                <w:b/>
                <w:sz w:val="20"/>
                <w:szCs w:val="20"/>
              </w:rPr>
            </w:pPr>
            <w:r w:rsidRPr="005F6732">
              <w:rPr>
                <w:rFonts w:ascii="Arial" w:hAnsi="Arial" w:cs="Arial"/>
                <w:b/>
                <w:sz w:val="20"/>
                <w:szCs w:val="20"/>
              </w:rPr>
              <w:t>(EB-1)</w:t>
            </w:r>
          </w:p>
          <w:p w:rsidR="00345C57" w:rsidRPr="005F6732" w:rsidRDefault="000F5E2D" w:rsidP="0085066A">
            <w:pPr>
              <w:spacing w:after="0" w:line="240" w:lineRule="auto"/>
              <w:jc w:val="center"/>
              <w:rPr>
                <w:rFonts w:ascii="Arial" w:hAnsi="Arial" w:cs="Arial"/>
                <w:b/>
                <w:sz w:val="20"/>
                <w:szCs w:val="20"/>
              </w:rPr>
            </w:pPr>
            <w:r w:rsidRPr="005F6732">
              <w:rPr>
                <w:rFonts w:ascii="Arial" w:hAnsi="Arial" w:cs="Arial"/>
                <w:b/>
                <w:sz w:val="20"/>
                <w:szCs w:val="20"/>
              </w:rPr>
              <w:t>Outstanding Professor or Researcher</w:t>
            </w:r>
          </w:p>
        </w:tc>
        <w:tc>
          <w:tcPr>
            <w:tcW w:w="4171" w:type="dxa"/>
          </w:tcPr>
          <w:p w:rsidR="000F5E2D" w:rsidRPr="005F6732" w:rsidRDefault="000F5E2D" w:rsidP="002C5003">
            <w:pPr>
              <w:rPr>
                <w:rFonts w:ascii="Arial" w:hAnsi="Arial" w:cs="Arial"/>
                <w:sz w:val="20"/>
                <w:szCs w:val="20"/>
              </w:rPr>
            </w:pPr>
            <w:r w:rsidRPr="005F6732">
              <w:rPr>
                <w:rFonts w:ascii="Arial" w:hAnsi="Arial" w:cs="Arial"/>
                <w:sz w:val="20"/>
                <w:szCs w:val="20"/>
              </w:rPr>
              <w:t>Professor or researcher who is recognized intern</w:t>
            </w:r>
            <w:r w:rsidR="006267D8">
              <w:rPr>
                <w:rFonts w:ascii="Arial" w:hAnsi="Arial" w:cs="Arial"/>
                <w:sz w:val="20"/>
                <w:szCs w:val="20"/>
              </w:rPr>
              <w:t xml:space="preserve">ationally as outstanding in their </w:t>
            </w:r>
            <w:r w:rsidRPr="005F6732">
              <w:rPr>
                <w:rFonts w:ascii="Arial" w:hAnsi="Arial" w:cs="Arial"/>
                <w:sz w:val="20"/>
                <w:szCs w:val="20"/>
              </w:rPr>
              <w:t>academic field, and who has at least 3 years of teaching or research experience in the field.</w:t>
            </w:r>
          </w:p>
        </w:tc>
        <w:tc>
          <w:tcPr>
            <w:tcW w:w="3888" w:type="dxa"/>
          </w:tcPr>
          <w:p w:rsidR="000F5E2D" w:rsidRPr="005F6732" w:rsidRDefault="003E7D10" w:rsidP="003E7D10">
            <w:pPr>
              <w:rPr>
                <w:rFonts w:ascii="Arial" w:hAnsi="Arial" w:cs="Arial"/>
                <w:i/>
                <w:sz w:val="20"/>
                <w:szCs w:val="20"/>
              </w:rPr>
            </w:pPr>
            <w:r>
              <w:rPr>
                <w:rFonts w:ascii="Arial" w:hAnsi="Arial" w:cs="Arial"/>
                <w:sz w:val="20"/>
                <w:szCs w:val="20"/>
              </w:rPr>
              <w:t>E</w:t>
            </w:r>
            <w:r w:rsidR="003D05D6">
              <w:rPr>
                <w:rFonts w:ascii="Arial" w:hAnsi="Arial" w:cs="Arial"/>
                <w:sz w:val="20"/>
                <w:szCs w:val="20"/>
              </w:rPr>
              <w:t>mployee</w:t>
            </w:r>
            <w:r w:rsidR="000F5E2D" w:rsidRPr="005F6732">
              <w:rPr>
                <w:rFonts w:ascii="Arial" w:hAnsi="Arial" w:cs="Arial"/>
                <w:sz w:val="20"/>
                <w:szCs w:val="20"/>
              </w:rPr>
              <w:t xml:space="preserve"> must have a “permanent” job offer.</w:t>
            </w:r>
            <w:r w:rsidR="007A32A0">
              <w:rPr>
                <w:rFonts w:ascii="Arial" w:hAnsi="Arial" w:cs="Arial"/>
                <w:sz w:val="20"/>
                <w:szCs w:val="20"/>
              </w:rPr>
              <w:t xml:space="preserve">  </w:t>
            </w:r>
            <w:r w:rsidR="00A23CDC">
              <w:rPr>
                <w:rFonts w:ascii="Arial" w:hAnsi="Arial" w:cs="Arial"/>
                <w:sz w:val="20"/>
                <w:szCs w:val="20"/>
              </w:rPr>
              <w:t xml:space="preserve">Requires expert letters, documentation of publications, citations, evidence that employee has served as a judge of the work of others, etc.  There are currently visa </w:t>
            </w:r>
            <w:r w:rsidR="006D12C7">
              <w:rPr>
                <w:rFonts w:ascii="Arial" w:hAnsi="Arial" w:cs="Arial"/>
                <w:sz w:val="20"/>
                <w:szCs w:val="20"/>
              </w:rPr>
              <w:t xml:space="preserve">number </w:t>
            </w:r>
            <w:r w:rsidR="00A23CDC">
              <w:rPr>
                <w:rFonts w:ascii="Arial" w:hAnsi="Arial" w:cs="Arial"/>
                <w:sz w:val="20"/>
                <w:szCs w:val="20"/>
              </w:rPr>
              <w:t>backlogs for all first preference beneficiaries.</w:t>
            </w:r>
          </w:p>
        </w:tc>
      </w:tr>
      <w:tr w:rsidR="000F5E2D" w:rsidRPr="005F6732" w:rsidTr="0093073E">
        <w:tc>
          <w:tcPr>
            <w:tcW w:w="0" w:type="auto"/>
          </w:tcPr>
          <w:p w:rsidR="00345C57" w:rsidRPr="005F6732" w:rsidRDefault="000F5E2D" w:rsidP="00345C57">
            <w:pPr>
              <w:spacing w:after="0" w:line="240" w:lineRule="auto"/>
              <w:jc w:val="center"/>
              <w:rPr>
                <w:rFonts w:ascii="Arial" w:hAnsi="Arial" w:cs="Arial"/>
                <w:b/>
                <w:sz w:val="20"/>
                <w:szCs w:val="20"/>
              </w:rPr>
            </w:pPr>
            <w:r w:rsidRPr="005F6732">
              <w:rPr>
                <w:rFonts w:ascii="Arial" w:hAnsi="Arial" w:cs="Arial"/>
                <w:sz w:val="20"/>
                <w:szCs w:val="20"/>
              </w:rPr>
              <w:br w:type="page"/>
            </w:r>
            <w:r w:rsidR="00345C57" w:rsidRPr="005F6732">
              <w:rPr>
                <w:rFonts w:ascii="Arial" w:hAnsi="Arial" w:cs="Arial"/>
                <w:b/>
                <w:sz w:val="20"/>
                <w:szCs w:val="20"/>
              </w:rPr>
              <w:t>Employment-Based Second Preference</w:t>
            </w:r>
          </w:p>
          <w:p w:rsidR="000F5E2D" w:rsidRPr="005F6732" w:rsidRDefault="00345C57" w:rsidP="00345C57">
            <w:pPr>
              <w:spacing w:after="0" w:line="240" w:lineRule="auto"/>
              <w:jc w:val="center"/>
              <w:rPr>
                <w:rFonts w:ascii="Arial" w:hAnsi="Arial" w:cs="Arial"/>
                <w:b/>
                <w:sz w:val="20"/>
                <w:szCs w:val="20"/>
              </w:rPr>
            </w:pPr>
            <w:r w:rsidRPr="005F6732">
              <w:rPr>
                <w:rFonts w:ascii="Arial" w:hAnsi="Arial" w:cs="Arial"/>
                <w:b/>
                <w:sz w:val="20"/>
                <w:szCs w:val="20"/>
              </w:rPr>
              <w:t>(</w:t>
            </w:r>
            <w:r w:rsidR="000F5E2D" w:rsidRPr="005F6732">
              <w:rPr>
                <w:rFonts w:ascii="Arial" w:hAnsi="Arial" w:cs="Arial"/>
                <w:b/>
                <w:sz w:val="20"/>
                <w:szCs w:val="20"/>
              </w:rPr>
              <w:t>EB-2</w:t>
            </w:r>
            <w:r w:rsidRPr="005F6732">
              <w:rPr>
                <w:rFonts w:ascii="Arial" w:hAnsi="Arial" w:cs="Arial"/>
                <w:b/>
                <w:sz w:val="20"/>
                <w:szCs w:val="20"/>
              </w:rPr>
              <w:t>)</w:t>
            </w:r>
          </w:p>
          <w:p w:rsidR="00345C57" w:rsidRPr="005F6732" w:rsidRDefault="00345C57" w:rsidP="00345C57">
            <w:pPr>
              <w:spacing w:after="0" w:line="240" w:lineRule="auto"/>
              <w:jc w:val="center"/>
              <w:rPr>
                <w:rFonts w:ascii="Arial" w:hAnsi="Arial" w:cs="Arial"/>
                <w:b/>
                <w:sz w:val="20"/>
                <w:szCs w:val="20"/>
              </w:rPr>
            </w:pPr>
          </w:p>
          <w:p w:rsidR="000F5E2D" w:rsidRPr="005F6732" w:rsidRDefault="000F5E2D" w:rsidP="00345C57">
            <w:pPr>
              <w:spacing w:after="0" w:line="240" w:lineRule="auto"/>
              <w:jc w:val="center"/>
              <w:rPr>
                <w:rFonts w:ascii="Arial" w:hAnsi="Arial" w:cs="Arial"/>
                <w:b/>
                <w:sz w:val="20"/>
                <w:szCs w:val="20"/>
              </w:rPr>
            </w:pPr>
            <w:r w:rsidRPr="005F6732">
              <w:rPr>
                <w:rFonts w:ascii="Arial" w:hAnsi="Arial" w:cs="Arial"/>
                <w:b/>
                <w:sz w:val="20"/>
                <w:szCs w:val="20"/>
              </w:rPr>
              <w:t>Advanced Degree Holder</w:t>
            </w:r>
          </w:p>
          <w:p w:rsidR="000F5E2D" w:rsidRDefault="000F5E2D" w:rsidP="00345C57">
            <w:pPr>
              <w:spacing w:after="0" w:line="240" w:lineRule="auto"/>
              <w:jc w:val="center"/>
              <w:rPr>
                <w:rFonts w:ascii="Arial" w:hAnsi="Arial" w:cs="Arial"/>
                <w:b/>
                <w:sz w:val="20"/>
                <w:szCs w:val="20"/>
              </w:rPr>
            </w:pPr>
            <w:r w:rsidRPr="005F6732">
              <w:rPr>
                <w:rFonts w:ascii="Arial" w:hAnsi="Arial" w:cs="Arial"/>
                <w:b/>
                <w:sz w:val="20"/>
                <w:szCs w:val="20"/>
              </w:rPr>
              <w:t>(or Exceptional Ability in the</w:t>
            </w:r>
            <w:r w:rsidR="002C5003" w:rsidRPr="005F6732">
              <w:rPr>
                <w:rFonts w:ascii="Arial" w:hAnsi="Arial" w:cs="Arial"/>
                <w:b/>
                <w:sz w:val="20"/>
                <w:szCs w:val="20"/>
              </w:rPr>
              <w:t xml:space="preserve"> </w:t>
            </w:r>
            <w:r w:rsidR="00345C57" w:rsidRPr="005F6732">
              <w:rPr>
                <w:rFonts w:ascii="Arial" w:hAnsi="Arial" w:cs="Arial"/>
                <w:b/>
                <w:sz w:val="20"/>
                <w:szCs w:val="20"/>
              </w:rPr>
              <w:t>Sciences, Arts, Business)</w:t>
            </w:r>
          </w:p>
          <w:p w:rsidR="006B3133" w:rsidRDefault="006B3133" w:rsidP="00345C57">
            <w:pPr>
              <w:spacing w:after="0" w:line="240" w:lineRule="auto"/>
              <w:jc w:val="center"/>
              <w:rPr>
                <w:rFonts w:ascii="Arial" w:hAnsi="Arial" w:cs="Arial"/>
                <w:b/>
                <w:sz w:val="20"/>
                <w:szCs w:val="20"/>
              </w:rPr>
            </w:pPr>
          </w:p>
          <w:p w:rsidR="006B3133" w:rsidRPr="005F6732" w:rsidRDefault="006B3133" w:rsidP="00345C57">
            <w:pPr>
              <w:spacing w:after="0" w:line="240" w:lineRule="auto"/>
              <w:jc w:val="center"/>
              <w:rPr>
                <w:rFonts w:ascii="Arial" w:hAnsi="Arial" w:cs="Arial"/>
                <w:b/>
                <w:sz w:val="20"/>
                <w:szCs w:val="20"/>
              </w:rPr>
            </w:pPr>
            <w:r>
              <w:rPr>
                <w:rFonts w:ascii="Arial" w:hAnsi="Arial" w:cs="Arial"/>
                <w:b/>
                <w:sz w:val="20"/>
                <w:szCs w:val="20"/>
              </w:rPr>
              <w:t>Basic</w:t>
            </w:r>
            <w:r w:rsidR="007A32A0">
              <w:rPr>
                <w:rFonts w:ascii="Arial" w:hAnsi="Arial" w:cs="Arial"/>
                <w:b/>
                <w:sz w:val="20"/>
                <w:szCs w:val="20"/>
              </w:rPr>
              <w:t xml:space="preserve"> Labor Certification</w:t>
            </w:r>
            <w:r>
              <w:rPr>
                <w:rFonts w:ascii="Arial" w:hAnsi="Arial" w:cs="Arial"/>
                <w:b/>
                <w:sz w:val="20"/>
                <w:szCs w:val="20"/>
              </w:rPr>
              <w:t xml:space="preserve"> or Special Handling Labor Certification for University Teachers</w:t>
            </w:r>
          </w:p>
        </w:tc>
        <w:tc>
          <w:tcPr>
            <w:tcW w:w="4171" w:type="dxa"/>
          </w:tcPr>
          <w:p w:rsidR="000F5E2D" w:rsidRPr="005F6732" w:rsidRDefault="000F5E2D" w:rsidP="003E7D10">
            <w:pPr>
              <w:rPr>
                <w:rFonts w:ascii="Arial" w:hAnsi="Arial" w:cs="Arial"/>
                <w:sz w:val="20"/>
                <w:szCs w:val="20"/>
              </w:rPr>
            </w:pPr>
            <w:r w:rsidRPr="005F6732">
              <w:rPr>
                <w:rFonts w:ascii="Arial" w:hAnsi="Arial" w:cs="Arial"/>
                <w:sz w:val="20"/>
                <w:szCs w:val="20"/>
              </w:rPr>
              <w:t xml:space="preserve">Employees </w:t>
            </w:r>
            <w:r w:rsidR="006B3133" w:rsidRPr="005F6732">
              <w:rPr>
                <w:rFonts w:ascii="Arial" w:hAnsi="Arial" w:cs="Arial"/>
                <w:sz w:val="20"/>
                <w:szCs w:val="20"/>
              </w:rPr>
              <w:t>who hold a</w:t>
            </w:r>
            <w:r w:rsidR="003E7D10">
              <w:rPr>
                <w:rFonts w:ascii="Arial" w:hAnsi="Arial" w:cs="Arial"/>
                <w:sz w:val="20"/>
                <w:szCs w:val="20"/>
              </w:rPr>
              <w:t>t least a</w:t>
            </w:r>
            <w:r w:rsidR="006B3133" w:rsidRPr="005F6732">
              <w:rPr>
                <w:rFonts w:ascii="Arial" w:hAnsi="Arial" w:cs="Arial"/>
                <w:sz w:val="20"/>
                <w:szCs w:val="20"/>
              </w:rPr>
              <w:t xml:space="preserve"> master’s degree </w:t>
            </w:r>
            <w:r w:rsidR="003E7D10">
              <w:rPr>
                <w:rFonts w:ascii="Arial" w:hAnsi="Arial" w:cs="Arial"/>
                <w:sz w:val="20"/>
                <w:szCs w:val="20"/>
              </w:rPr>
              <w:t>(or a bachelor’s degree plus five years of progressive experience) in a position for which an</w:t>
            </w:r>
            <w:r w:rsidR="006B3133" w:rsidRPr="005F6732">
              <w:rPr>
                <w:rFonts w:ascii="Arial" w:hAnsi="Arial" w:cs="Arial"/>
                <w:sz w:val="20"/>
                <w:szCs w:val="20"/>
              </w:rPr>
              <w:t xml:space="preserve"> advanced degree</w:t>
            </w:r>
            <w:r w:rsidR="003E7D10">
              <w:rPr>
                <w:rFonts w:ascii="Arial" w:hAnsi="Arial" w:cs="Arial"/>
                <w:sz w:val="20"/>
                <w:szCs w:val="20"/>
              </w:rPr>
              <w:t>/bachelor’s degree and five years of experience</w:t>
            </w:r>
            <w:r w:rsidR="006B3133" w:rsidRPr="005F6732">
              <w:rPr>
                <w:rFonts w:ascii="Arial" w:hAnsi="Arial" w:cs="Arial"/>
                <w:sz w:val="20"/>
                <w:szCs w:val="20"/>
              </w:rPr>
              <w:t xml:space="preserve"> is </w:t>
            </w:r>
            <w:r w:rsidR="006267D8">
              <w:rPr>
                <w:rFonts w:ascii="Arial" w:hAnsi="Arial" w:cs="Arial"/>
                <w:sz w:val="20"/>
                <w:szCs w:val="20"/>
              </w:rPr>
              <w:t>a minimum requirement</w:t>
            </w:r>
            <w:r w:rsidR="006B3133" w:rsidRPr="005F6732">
              <w:rPr>
                <w:rFonts w:ascii="Arial" w:hAnsi="Arial" w:cs="Arial"/>
                <w:sz w:val="20"/>
                <w:szCs w:val="20"/>
              </w:rPr>
              <w:t xml:space="preserve">.  </w:t>
            </w:r>
            <w:r w:rsidR="006B3133">
              <w:rPr>
                <w:rFonts w:ascii="Arial" w:hAnsi="Arial" w:cs="Arial"/>
                <w:sz w:val="20"/>
                <w:szCs w:val="20"/>
              </w:rPr>
              <w:t xml:space="preserve">Employee must have been </w:t>
            </w:r>
            <w:r w:rsidRPr="005F6732">
              <w:rPr>
                <w:rFonts w:ascii="Arial" w:hAnsi="Arial" w:cs="Arial"/>
                <w:sz w:val="20"/>
                <w:szCs w:val="20"/>
              </w:rPr>
              <w:t>hired as a result of a nat</w:t>
            </w:r>
            <w:r w:rsidR="00345C57" w:rsidRPr="005F6732">
              <w:rPr>
                <w:rFonts w:ascii="Arial" w:hAnsi="Arial" w:cs="Arial"/>
                <w:sz w:val="20"/>
                <w:szCs w:val="20"/>
              </w:rPr>
              <w:t xml:space="preserve">ional search that meets </w:t>
            </w:r>
            <w:r w:rsidR="006B3133">
              <w:rPr>
                <w:rFonts w:ascii="Arial" w:hAnsi="Arial" w:cs="Arial"/>
                <w:sz w:val="20"/>
                <w:szCs w:val="20"/>
              </w:rPr>
              <w:t>USDOL recruitment requirements</w:t>
            </w:r>
            <w:r w:rsidR="007A32A0">
              <w:rPr>
                <w:rFonts w:ascii="Arial" w:hAnsi="Arial" w:cs="Arial"/>
                <w:sz w:val="20"/>
                <w:szCs w:val="20"/>
              </w:rPr>
              <w:t>.  Appropriate for a</w:t>
            </w:r>
            <w:r w:rsidR="006B3133">
              <w:rPr>
                <w:rFonts w:ascii="Arial" w:hAnsi="Arial" w:cs="Arial"/>
                <w:sz w:val="20"/>
                <w:szCs w:val="20"/>
              </w:rPr>
              <w:t>ll faculty positions</w:t>
            </w:r>
            <w:r w:rsidR="007A32A0">
              <w:rPr>
                <w:rFonts w:ascii="Arial" w:hAnsi="Arial" w:cs="Arial"/>
                <w:sz w:val="20"/>
                <w:szCs w:val="20"/>
              </w:rPr>
              <w:t xml:space="preserve">.  </w:t>
            </w:r>
            <w:r w:rsidR="003E7D10">
              <w:rPr>
                <w:rFonts w:ascii="Arial" w:hAnsi="Arial" w:cs="Arial"/>
                <w:sz w:val="20"/>
                <w:szCs w:val="20"/>
              </w:rPr>
              <w:t xml:space="preserve">The university does </w:t>
            </w:r>
            <w:r w:rsidR="006B3133" w:rsidRPr="005F6732">
              <w:rPr>
                <w:rFonts w:ascii="Arial" w:hAnsi="Arial" w:cs="Arial"/>
                <w:sz w:val="20"/>
                <w:szCs w:val="20"/>
              </w:rPr>
              <w:t xml:space="preserve">not </w:t>
            </w:r>
            <w:r w:rsidR="007A32A0">
              <w:rPr>
                <w:rFonts w:ascii="Arial" w:hAnsi="Arial" w:cs="Arial"/>
                <w:sz w:val="20"/>
                <w:szCs w:val="20"/>
              </w:rPr>
              <w:t xml:space="preserve">sponsor </w:t>
            </w:r>
            <w:r w:rsidR="006B3133">
              <w:rPr>
                <w:rFonts w:ascii="Arial" w:hAnsi="Arial" w:cs="Arial"/>
                <w:sz w:val="20"/>
                <w:szCs w:val="20"/>
              </w:rPr>
              <w:t>classified staff positions</w:t>
            </w:r>
            <w:r w:rsidR="0085066A">
              <w:rPr>
                <w:rFonts w:ascii="Arial" w:hAnsi="Arial" w:cs="Arial"/>
                <w:sz w:val="20"/>
                <w:szCs w:val="20"/>
              </w:rPr>
              <w:t xml:space="preserve"> or postdoctoral fellows</w:t>
            </w:r>
            <w:r w:rsidR="007A32A0">
              <w:rPr>
                <w:rFonts w:ascii="Arial" w:hAnsi="Arial" w:cs="Arial"/>
                <w:sz w:val="20"/>
                <w:szCs w:val="20"/>
              </w:rPr>
              <w:t xml:space="preserve">.  Sponsorship for </w:t>
            </w:r>
            <w:r w:rsidRPr="005F6732">
              <w:rPr>
                <w:rFonts w:ascii="Arial" w:hAnsi="Arial" w:cs="Arial"/>
                <w:sz w:val="20"/>
                <w:szCs w:val="20"/>
              </w:rPr>
              <w:t xml:space="preserve">Exempt Professionals </w:t>
            </w:r>
            <w:r w:rsidR="0085066A">
              <w:rPr>
                <w:rFonts w:ascii="Arial" w:hAnsi="Arial" w:cs="Arial"/>
                <w:sz w:val="20"/>
                <w:szCs w:val="20"/>
              </w:rPr>
              <w:t>is approved only on an exception basis</w:t>
            </w:r>
            <w:r w:rsidR="007A32A0">
              <w:rPr>
                <w:rFonts w:ascii="Arial" w:hAnsi="Arial" w:cs="Arial"/>
                <w:sz w:val="20"/>
                <w:szCs w:val="20"/>
              </w:rPr>
              <w:t xml:space="preserve">.  </w:t>
            </w:r>
          </w:p>
        </w:tc>
        <w:tc>
          <w:tcPr>
            <w:tcW w:w="3888" w:type="dxa"/>
          </w:tcPr>
          <w:p w:rsidR="000F5E2D" w:rsidRPr="005F6732" w:rsidRDefault="00206D53" w:rsidP="006B3133">
            <w:pPr>
              <w:rPr>
                <w:rFonts w:ascii="Arial" w:hAnsi="Arial" w:cs="Arial"/>
                <w:sz w:val="20"/>
                <w:szCs w:val="20"/>
              </w:rPr>
            </w:pPr>
            <w:r>
              <w:rPr>
                <w:rFonts w:ascii="Arial" w:hAnsi="Arial" w:cs="Arial"/>
                <w:sz w:val="20"/>
                <w:szCs w:val="20"/>
              </w:rPr>
              <w:t xml:space="preserve">The </w:t>
            </w:r>
            <w:r w:rsidR="003D05D6">
              <w:rPr>
                <w:rFonts w:ascii="Arial" w:hAnsi="Arial" w:cs="Arial"/>
                <w:sz w:val="20"/>
                <w:szCs w:val="20"/>
              </w:rPr>
              <w:t>employee</w:t>
            </w:r>
            <w:r w:rsidR="000F5E2D" w:rsidRPr="005F6732">
              <w:rPr>
                <w:rFonts w:ascii="Arial" w:hAnsi="Arial" w:cs="Arial"/>
                <w:sz w:val="20"/>
                <w:szCs w:val="20"/>
              </w:rPr>
              <w:t xml:space="preserve"> must </w:t>
            </w:r>
            <w:r w:rsidR="002C5003" w:rsidRPr="005F6732">
              <w:rPr>
                <w:rFonts w:ascii="Arial" w:hAnsi="Arial" w:cs="Arial"/>
                <w:sz w:val="20"/>
                <w:szCs w:val="20"/>
              </w:rPr>
              <w:t>have a permanent job offer at the University of Colorado</w:t>
            </w:r>
            <w:r w:rsidR="000F5E2D" w:rsidRPr="005F6732">
              <w:rPr>
                <w:rFonts w:ascii="Arial" w:hAnsi="Arial" w:cs="Arial"/>
                <w:sz w:val="20"/>
                <w:szCs w:val="20"/>
              </w:rPr>
              <w:t xml:space="preserve"> Denver for a full-time position which requires an advanced degree or equivalent</w:t>
            </w:r>
            <w:r w:rsidR="00AA24FF" w:rsidRPr="005F6732">
              <w:rPr>
                <w:rFonts w:ascii="Arial" w:hAnsi="Arial" w:cs="Arial"/>
                <w:sz w:val="20"/>
                <w:szCs w:val="20"/>
              </w:rPr>
              <w:t xml:space="preserve">, unless </w:t>
            </w:r>
            <w:r>
              <w:rPr>
                <w:rFonts w:ascii="Arial" w:hAnsi="Arial" w:cs="Arial"/>
                <w:sz w:val="20"/>
                <w:szCs w:val="20"/>
              </w:rPr>
              <w:t xml:space="preserve">the </w:t>
            </w:r>
            <w:r w:rsidR="003D05D6">
              <w:rPr>
                <w:rFonts w:ascii="Arial" w:hAnsi="Arial" w:cs="Arial"/>
                <w:sz w:val="20"/>
                <w:szCs w:val="20"/>
              </w:rPr>
              <w:t>employee</w:t>
            </w:r>
            <w:r w:rsidR="00AA24FF" w:rsidRPr="005F6732">
              <w:rPr>
                <w:rFonts w:ascii="Arial" w:hAnsi="Arial" w:cs="Arial"/>
                <w:sz w:val="20"/>
                <w:szCs w:val="20"/>
              </w:rPr>
              <w:t xml:space="preserve"> is of </w:t>
            </w:r>
            <w:r w:rsidR="00925524">
              <w:rPr>
                <w:rFonts w:ascii="Arial" w:hAnsi="Arial" w:cs="Arial"/>
                <w:sz w:val="20"/>
                <w:szCs w:val="20"/>
              </w:rPr>
              <w:t xml:space="preserve">documentable </w:t>
            </w:r>
            <w:r w:rsidR="00AA24FF" w:rsidRPr="005F6732">
              <w:rPr>
                <w:rFonts w:ascii="Arial" w:hAnsi="Arial" w:cs="Arial"/>
                <w:sz w:val="20"/>
                <w:szCs w:val="20"/>
              </w:rPr>
              <w:t xml:space="preserve">exceptional ability.  </w:t>
            </w:r>
            <w:r w:rsidR="000F5E2D" w:rsidRPr="005F6732">
              <w:rPr>
                <w:rFonts w:ascii="Arial" w:hAnsi="Arial" w:cs="Arial"/>
                <w:sz w:val="20"/>
                <w:szCs w:val="20"/>
              </w:rPr>
              <w:t>A faculty candidate with teaching responsibilities must be the MOST qualified applicant.  A non-teaching candidate must be the ONLY qualified applicant willing an</w:t>
            </w:r>
            <w:r w:rsidR="002C5003" w:rsidRPr="005F6732">
              <w:rPr>
                <w:rFonts w:ascii="Arial" w:hAnsi="Arial" w:cs="Arial"/>
                <w:sz w:val="20"/>
                <w:szCs w:val="20"/>
              </w:rPr>
              <w:t xml:space="preserve">d able to accept the position. </w:t>
            </w:r>
            <w:r w:rsidR="0085066A">
              <w:rPr>
                <w:rFonts w:ascii="Arial" w:hAnsi="Arial" w:cs="Arial"/>
                <w:sz w:val="20"/>
                <w:szCs w:val="20"/>
              </w:rPr>
              <w:t>Currently, there are s</w:t>
            </w:r>
            <w:r w:rsidR="00925524">
              <w:rPr>
                <w:rFonts w:ascii="Arial" w:hAnsi="Arial" w:cs="Arial"/>
                <w:sz w:val="20"/>
                <w:szCs w:val="20"/>
              </w:rPr>
              <w:t>ignificant v</w:t>
            </w:r>
            <w:r w:rsidR="000F5E2D" w:rsidRPr="005F6732">
              <w:rPr>
                <w:rFonts w:ascii="Arial" w:hAnsi="Arial" w:cs="Arial"/>
                <w:sz w:val="20"/>
                <w:szCs w:val="20"/>
              </w:rPr>
              <w:t xml:space="preserve">isa number backlogs for those born in India and China.  </w:t>
            </w:r>
          </w:p>
        </w:tc>
      </w:tr>
    </w:tbl>
    <w:p w:rsidR="0093073E" w:rsidRDefault="009307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71"/>
        <w:gridCol w:w="3888"/>
      </w:tblGrid>
      <w:tr w:rsidR="006B3133" w:rsidRPr="005F6732" w:rsidTr="00A23CDC">
        <w:tc>
          <w:tcPr>
            <w:tcW w:w="0" w:type="auto"/>
          </w:tcPr>
          <w:p w:rsidR="006B3133" w:rsidRDefault="006B3133" w:rsidP="006B3133">
            <w:pPr>
              <w:spacing w:after="0" w:line="240" w:lineRule="auto"/>
              <w:jc w:val="center"/>
              <w:rPr>
                <w:rFonts w:ascii="Arial" w:hAnsi="Arial"/>
                <w:b/>
                <w:sz w:val="20"/>
                <w:szCs w:val="20"/>
              </w:rPr>
            </w:pPr>
            <w:r>
              <w:rPr>
                <w:rFonts w:ascii="Arial" w:hAnsi="Arial"/>
                <w:b/>
                <w:sz w:val="20"/>
                <w:szCs w:val="20"/>
              </w:rPr>
              <w:lastRenderedPageBreak/>
              <w:t>Employment-Based Second Preference</w:t>
            </w:r>
          </w:p>
          <w:p w:rsidR="006B3133" w:rsidRDefault="006B3133" w:rsidP="006B3133">
            <w:pPr>
              <w:spacing w:after="0" w:line="240" w:lineRule="auto"/>
              <w:jc w:val="center"/>
              <w:rPr>
                <w:rFonts w:ascii="Arial" w:hAnsi="Arial"/>
                <w:b/>
                <w:sz w:val="20"/>
                <w:szCs w:val="20"/>
              </w:rPr>
            </w:pPr>
            <w:r>
              <w:rPr>
                <w:rFonts w:ascii="Arial" w:hAnsi="Arial"/>
                <w:b/>
                <w:sz w:val="20"/>
                <w:szCs w:val="20"/>
              </w:rPr>
              <w:t>(</w:t>
            </w:r>
            <w:r w:rsidRPr="001F5919">
              <w:rPr>
                <w:rFonts w:ascii="Arial" w:hAnsi="Arial"/>
                <w:b/>
                <w:sz w:val="20"/>
                <w:szCs w:val="20"/>
              </w:rPr>
              <w:t>EB-2</w:t>
            </w:r>
            <w:r>
              <w:rPr>
                <w:rFonts w:ascii="Arial" w:hAnsi="Arial"/>
                <w:b/>
                <w:sz w:val="20"/>
                <w:szCs w:val="20"/>
              </w:rPr>
              <w:t>)</w:t>
            </w:r>
            <w:r w:rsidRPr="001F5919">
              <w:rPr>
                <w:rFonts w:ascii="Arial" w:hAnsi="Arial"/>
                <w:b/>
                <w:sz w:val="20"/>
                <w:szCs w:val="20"/>
              </w:rPr>
              <w:t xml:space="preserve"> </w:t>
            </w:r>
          </w:p>
          <w:p w:rsidR="006B3133" w:rsidRDefault="006B3133" w:rsidP="006B3133">
            <w:pPr>
              <w:spacing w:after="0" w:line="240" w:lineRule="auto"/>
              <w:jc w:val="center"/>
              <w:rPr>
                <w:rFonts w:ascii="Arial" w:hAnsi="Arial"/>
                <w:b/>
                <w:sz w:val="20"/>
                <w:szCs w:val="20"/>
              </w:rPr>
            </w:pPr>
          </w:p>
          <w:p w:rsidR="006B3133" w:rsidRPr="006B3133" w:rsidRDefault="006B3133" w:rsidP="006B3133">
            <w:pPr>
              <w:spacing w:after="0" w:line="240" w:lineRule="auto"/>
              <w:jc w:val="center"/>
              <w:rPr>
                <w:rFonts w:ascii="Arial" w:hAnsi="Arial"/>
                <w:b/>
                <w:sz w:val="20"/>
                <w:szCs w:val="20"/>
              </w:rPr>
            </w:pPr>
            <w:r w:rsidRPr="001F5919">
              <w:rPr>
                <w:rFonts w:ascii="Arial" w:hAnsi="Arial"/>
                <w:b/>
                <w:sz w:val="20"/>
                <w:szCs w:val="20"/>
              </w:rPr>
              <w:t>Persons with Advanced Degrees whose Work is in the National Interest</w:t>
            </w:r>
          </w:p>
          <w:p w:rsidR="006B3133" w:rsidRPr="005F6732" w:rsidRDefault="006B3133" w:rsidP="00345C57">
            <w:pPr>
              <w:spacing w:after="0" w:line="240" w:lineRule="auto"/>
              <w:jc w:val="center"/>
              <w:rPr>
                <w:rFonts w:ascii="Arial" w:hAnsi="Arial" w:cs="Arial"/>
                <w:sz w:val="20"/>
                <w:szCs w:val="20"/>
              </w:rPr>
            </w:pPr>
          </w:p>
        </w:tc>
        <w:tc>
          <w:tcPr>
            <w:tcW w:w="4171" w:type="dxa"/>
          </w:tcPr>
          <w:p w:rsidR="006B3133" w:rsidRPr="003E7D10" w:rsidRDefault="007A32A0" w:rsidP="0093073E">
            <w:pPr>
              <w:rPr>
                <w:rFonts w:ascii="Arial" w:hAnsi="Arial"/>
                <w:sz w:val="20"/>
                <w:szCs w:val="20"/>
              </w:rPr>
            </w:pPr>
            <w:r>
              <w:rPr>
                <w:rFonts w:ascii="Arial" w:hAnsi="Arial"/>
                <w:sz w:val="20"/>
                <w:szCs w:val="20"/>
              </w:rPr>
              <w:t xml:space="preserve">Job offer and labor certification are waived. </w:t>
            </w:r>
            <w:r w:rsidR="003E7D10" w:rsidRPr="001F5919">
              <w:rPr>
                <w:rFonts w:ascii="Arial" w:hAnsi="Arial"/>
                <w:sz w:val="20"/>
                <w:szCs w:val="20"/>
              </w:rPr>
              <w:t xml:space="preserve">It is available to </w:t>
            </w:r>
            <w:r w:rsidR="003E7D10">
              <w:rPr>
                <w:rFonts w:ascii="Arial" w:hAnsi="Arial"/>
                <w:sz w:val="20"/>
                <w:szCs w:val="20"/>
              </w:rPr>
              <w:t xml:space="preserve">a scholar </w:t>
            </w:r>
            <w:r w:rsidR="003E7D10" w:rsidRPr="001F5919">
              <w:rPr>
                <w:rFonts w:ascii="Arial" w:hAnsi="Arial"/>
                <w:sz w:val="20"/>
                <w:szCs w:val="20"/>
              </w:rPr>
              <w:t>who has an advanced degree</w:t>
            </w:r>
            <w:r w:rsidR="003E7D10">
              <w:rPr>
                <w:rFonts w:ascii="Arial" w:hAnsi="Arial"/>
                <w:sz w:val="20"/>
                <w:szCs w:val="20"/>
              </w:rPr>
              <w:t xml:space="preserve"> (master’s or higher)</w:t>
            </w:r>
            <w:r w:rsidR="003E7D10" w:rsidRPr="001F5919">
              <w:rPr>
                <w:rFonts w:ascii="Arial" w:hAnsi="Arial"/>
                <w:sz w:val="20"/>
                <w:szCs w:val="20"/>
              </w:rPr>
              <w:t xml:space="preserve">, and can prove that </w:t>
            </w:r>
            <w:r w:rsidR="003E7D10">
              <w:rPr>
                <w:rFonts w:ascii="Arial" w:hAnsi="Arial"/>
                <w:sz w:val="20"/>
                <w:szCs w:val="20"/>
              </w:rPr>
              <w:t xml:space="preserve">her or his </w:t>
            </w:r>
            <w:r w:rsidR="003E7D10" w:rsidRPr="001F5919">
              <w:rPr>
                <w:rFonts w:ascii="Arial" w:hAnsi="Arial"/>
                <w:sz w:val="20"/>
                <w:szCs w:val="20"/>
              </w:rPr>
              <w:t xml:space="preserve">work is in an area of </w:t>
            </w:r>
            <w:r w:rsidR="003E7D10" w:rsidRPr="001F5919">
              <w:rPr>
                <w:rFonts w:ascii="Arial" w:hAnsi="Arial"/>
                <w:b/>
                <w:i/>
                <w:sz w:val="20"/>
                <w:szCs w:val="20"/>
              </w:rPr>
              <w:t xml:space="preserve">substantial </w:t>
            </w:r>
            <w:r w:rsidR="0093073E">
              <w:rPr>
                <w:rFonts w:ascii="Arial" w:hAnsi="Arial"/>
                <w:b/>
                <w:i/>
                <w:sz w:val="20"/>
                <w:szCs w:val="20"/>
              </w:rPr>
              <w:t>intrinsic merit</w:t>
            </w:r>
            <w:r w:rsidR="003E7D10">
              <w:rPr>
                <w:rFonts w:ascii="Arial" w:hAnsi="Arial"/>
                <w:b/>
                <w:i/>
                <w:sz w:val="20"/>
                <w:szCs w:val="20"/>
              </w:rPr>
              <w:t xml:space="preserve"> </w:t>
            </w:r>
            <w:r w:rsidR="003E7D10" w:rsidRPr="0031775A">
              <w:rPr>
                <w:rFonts w:ascii="Arial" w:hAnsi="Arial"/>
                <w:sz w:val="20"/>
                <w:szCs w:val="20"/>
              </w:rPr>
              <w:t>and t</w:t>
            </w:r>
            <w:r w:rsidR="003E7D10" w:rsidRPr="001F5919">
              <w:rPr>
                <w:rFonts w:ascii="Arial" w:hAnsi="Arial"/>
                <w:sz w:val="20"/>
                <w:szCs w:val="20"/>
              </w:rPr>
              <w:t xml:space="preserve">hat the proposed </w:t>
            </w:r>
            <w:r w:rsidR="003E7D10" w:rsidRPr="001F5919">
              <w:rPr>
                <w:rFonts w:ascii="Arial" w:hAnsi="Arial"/>
                <w:b/>
                <w:i/>
                <w:sz w:val="20"/>
                <w:szCs w:val="20"/>
              </w:rPr>
              <w:t>benefit</w:t>
            </w:r>
            <w:r w:rsidR="003E7D10" w:rsidRPr="001F5919">
              <w:rPr>
                <w:rFonts w:ascii="Arial" w:hAnsi="Arial"/>
                <w:sz w:val="20"/>
                <w:szCs w:val="20"/>
              </w:rPr>
              <w:t xml:space="preserve"> of the employee's work is </w:t>
            </w:r>
            <w:r w:rsidR="003E7D10">
              <w:rPr>
                <w:rFonts w:ascii="Arial" w:hAnsi="Arial"/>
                <w:sz w:val="20"/>
                <w:szCs w:val="20"/>
              </w:rPr>
              <w:t xml:space="preserve">of </w:t>
            </w:r>
            <w:r w:rsidR="003E7D10" w:rsidRPr="001F5919">
              <w:rPr>
                <w:rFonts w:ascii="Arial" w:hAnsi="Arial"/>
                <w:b/>
                <w:i/>
                <w:sz w:val="20"/>
                <w:szCs w:val="20"/>
              </w:rPr>
              <w:t>national</w:t>
            </w:r>
            <w:r w:rsidR="003E7D10" w:rsidRPr="001F5919">
              <w:rPr>
                <w:rFonts w:ascii="Arial" w:hAnsi="Arial"/>
                <w:sz w:val="20"/>
                <w:szCs w:val="20"/>
              </w:rPr>
              <w:t xml:space="preserve"> </w:t>
            </w:r>
            <w:r w:rsidR="003E7D10" w:rsidRPr="0031775A">
              <w:rPr>
                <w:rFonts w:ascii="Arial" w:hAnsi="Arial"/>
                <w:b/>
                <w:i/>
                <w:sz w:val="20"/>
                <w:szCs w:val="20"/>
              </w:rPr>
              <w:t>importance</w:t>
            </w:r>
            <w:r w:rsidR="003E7D10">
              <w:rPr>
                <w:rFonts w:ascii="Arial" w:hAnsi="Arial"/>
                <w:b/>
                <w:i/>
                <w:sz w:val="20"/>
                <w:szCs w:val="20"/>
              </w:rPr>
              <w:t xml:space="preserve">; </w:t>
            </w:r>
            <w:r w:rsidR="003E7D10" w:rsidRPr="001F5919">
              <w:rPr>
                <w:rFonts w:ascii="Arial" w:hAnsi="Arial"/>
                <w:sz w:val="20"/>
                <w:szCs w:val="20"/>
              </w:rPr>
              <w:t xml:space="preserve">that </w:t>
            </w:r>
            <w:r w:rsidR="003E7D10">
              <w:rPr>
                <w:rFonts w:ascii="Arial" w:hAnsi="Arial"/>
                <w:sz w:val="20"/>
                <w:szCs w:val="20"/>
              </w:rPr>
              <w:t xml:space="preserve">he or she is well positioned to advance the proposed endeavor; and that, </w:t>
            </w:r>
            <w:r w:rsidR="003E7D10" w:rsidRPr="0031775A">
              <w:rPr>
                <w:rFonts w:ascii="Arial" w:hAnsi="Arial"/>
                <w:b/>
                <w:i/>
                <w:sz w:val="20"/>
                <w:szCs w:val="20"/>
              </w:rPr>
              <w:t>on balance, it would be beneficial to the United States to waive the job offer and labor certification requirement</w:t>
            </w:r>
            <w:r w:rsidR="003E7D10">
              <w:rPr>
                <w:rFonts w:ascii="Arial" w:hAnsi="Arial"/>
                <w:sz w:val="20"/>
                <w:szCs w:val="20"/>
              </w:rPr>
              <w:t xml:space="preserve">.  </w:t>
            </w:r>
          </w:p>
        </w:tc>
        <w:tc>
          <w:tcPr>
            <w:tcW w:w="3888" w:type="dxa"/>
          </w:tcPr>
          <w:p w:rsidR="006B3133" w:rsidRPr="005F6732" w:rsidRDefault="0093073E" w:rsidP="00F15372">
            <w:pPr>
              <w:rPr>
                <w:rFonts w:ascii="Arial" w:hAnsi="Arial" w:cs="Arial"/>
                <w:sz w:val="20"/>
                <w:szCs w:val="20"/>
              </w:rPr>
            </w:pPr>
            <w:r w:rsidRPr="001F5919">
              <w:rPr>
                <w:rFonts w:ascii="Arial" w:hAnsi="Arial"/>
                <w:sz w:val="20"/>
                <w:szCs w:val="20"/>
              </w:rPr>
              <w:t xml:space="preserve">The employee can self-petition </w:t>
            </w:r>
            <w:r>
              <w:rPr>
                <w:rFonts w:ascii="Arial" w:hAnsi="Arial"/>
                <w:sz w:val="20"/>
                <w:szCs w:val="20"/>
              </w:rPr>
              <w:t xml:space="preserve">or the University can petition on behalf of the employee. </w:t>
            </w:r>
            <w:r w:rsidR="003E7D10">
              <w:rPr>
                <w:rFonts w:ascii="Arial" w:hAnsi="Arial" w:cs="Arial"/>
                <w:sz w:val="20"/>
                <w:szCs w:val="20"/>
              </w:rPr>
              <w:t>Requires expert letters, personal statement, evidence of publications, citations, and other evidence to show that work is in the national interest of the U.S.</w:t>
            </w:r>
          </w:p>
        </w:tc>
      </w:tr>
    </w:tbl>
    <w:p w:rsidR="00F77282" w:rsidRDefault="00F77282">
      <w:pPr>
        <w:spacing w:after="0" w:line="240" w:lineRule="auto"/>
        <w:rPr>
          <w:rFonts w:ascii="Arial" w:hAnsi="Arial"/>
          <w:b/>
        </w:rPr>
      </w:pPr>
    </w:p>
    <w:p w:rsidR="00AA24FF" w:rsidRPr="005F6732" w:rsidRDefault="00FA5ABB" w:rsidP="0098707D">
      <w:pPr>
        <w:spacing w:after="0"/>
        <w:rPr>
          <w:rFonts w:ascii="Arial" w:hAnsi="Arial"/>
          <w:b/>
        </w:rPr>
      </w:pPr>
      <w:r>
        <w:rPr>
          <w:rFonts w:ascii="Arial" w:hAnsi="Arial"/>
          <w:b/>
        </w:rPr>
        <w:t>Length of Permanent Residency</w:t>
      </w:r>
      <w:r w:rsidR="00AA24FF" w:rsidRPr="005F6732">
        <w:rPr>
          <w:rFonts w:ascii="Arial" w:hAnsi="Arial"/>
          <w:b/>
        </w:rPr>
        <w:t xml:space="preserve"> Process</w:t>
      </w:r>
    </w:p>
    <w:p w:rsidR="00AA24FF" w:rsidRPr="005F6732" w:rsidRDefault="00AA24FF" w:rsidP="0098707D">
      <w:pPr>
        <w:spacing w:after="0"/>
        <w:rPr>
          <w:rFonts w:ascii="Arial" w:hAnsi="Arial"/>
        </w:rPr>
      </w:pPr>
    </w:p>
    <w:p w:rsidR="0098707D" w:rsidRPr="005F6732" w:rsidRDefault="0098707D" w:rsidP="0098707D">
      <w:pPr>
        <w:spacing w:after="0"/>
        <w:rPr>
          <w:rFonts w:ascii="Arial" w:hAnsi="Arial"/>
        </w:rPr>
      </w:pPr>
      <w:r w:rsidRPr="005F6732">
        <w:rPr>
          <w:rFonts w:ascii="Arial" w:hAnsi="Arial"/>
        </w:rPr>
        <w:t>The length of time it takes to become a permanent resident depends on various fact</w:t>
      </w:r>
      <w:r w:rsidR="00925524">
        <w:rPr>
          <w:rFonts w:ascii="Arial" w:hAnsi="Arial"/>
        </w:rPr>
        <w:t>ors.  The three most important variables</w:t>
      </w:r>
      <w:r w:rsidR="008F7324" w:rsidRPr="005F6732">
        <w:rPr>
          <w:rFonts w:ascii="Arial" w:hAnsi="Arial"/>
        </w:rPr>
        <w:t xml:space="preserve"> are: 1) where the international employee</w:t>
      </w:r>
      <w:r w:rsidRPr="005F6732">
        <w:rPr>
          <w:rFonts w:ascii="Arial" w:hAnsi="Arial"/>
        </w:rPr>
        <w:t xml:space="preserve"> </w:t>
      </w:r>
      <w:r w:rsidR="00925524">
        <w:rPr>
          <w:rFonts w:ascii="Arial" w:hAnsi="Arial"/>
        </w:rPr>
        <w:t>(or their</w:t>
      </w:r>
      <w:r w:rsidRPr="005F6732">
        <w:rPr>
          <w:rFonts w:ascii="Arial" w:hAnsi="Arial"/>
        </w:rPr>
        <w:t xml:space="preserve"> spouse) was born</w:t>
      </w:r>
      <w:r w:rsidR="002E4BD1" w:rsidRPr="005F6732">
        <w:rPr>
          <w:rFonts w:ascii="Arial" w:hAnsi="Arial"/>
        </w:rPr>
        <w:t xml:space="preserve">; 2) the international employee’s </w:t>
      </w:r>
      <w:r w:rsidRPr="005F6732">
        <w:rPr>
          <w:rFonts w:ascii="Arial" w:hAnsi="Arial"/>
        </w:rPr>
        <w:t>level of</w:t>
      </w:r>
      <w:r w:rsidR="002E4BD1" w:rsidRPr="005F6732">
        <w:rPr>
          <w:rFonts w:ascii="Arial" w:hAnsi="Arial"/>
        </w:rPr>
        <w:t xml:space="preserve"> education</w:t>
      </w:r>
      <w:r w:rsidR="00206D53">
        <w:rPr>
          <w:rFonts w:ascii="Arial" w:hAnsi="Arial"/>
        </w:rPr>
        <w:t xml:space="preserve"> and years of professional experience</w:t>
      </w:r>
      <w:r w:rsidR="002E4BD1" w:rsidRPr="005F6732">
        <w:rPr>
          <w:rFonts w:ascii="Arial" w:hAnsi="Arial"/>
        </w:rPr>
        <w:t>; and 3) the international employee’s</w:t>
      </w:r>
      <w:r w:rsidRPr="005F6732">
        <w:rPr>
          <w:rFonts w:ascii="Arial" w:hAnsi="Arial"/>
        </w:rPr>
        <w:t xml:space="preserve"> professional achievements.  For example, depending on the catego</w:t>
      </w:r>
      <w:r w:rsidR="002E4BD1" w:rsidRPr="005F6732">
        <w:rPr>
          <w:rFonts w:ascii="Arial" w:hAnsi="Arial"/>
        </w:rPr>
        <w:t>ry in which they apply, foreign national</w:t>
      </w:r>
      <w:r w:rsidR="00AA24FF" w:rsidRPr="005F6732">
        <w:rPr>
          <w:rFonts w:ascii="Arial" w:hAnsi="Arial"/>
        </w:rPr>
        <w:t>s</w:t>
      </w:r>
      <w:r w:rsidR="00206D53">
        <w:rPr>
          <w:rFonts w:ascii="Arial" w:hAnsi="Arial"/>
        </w:rPr>
        <w:t xml:space="preserve"> born in</w:t>
      </w:r>
      <w:r w:rsidRPr="005F6732">
        <w:rPr>
          <w:rFonts w:ascii="Arial" w:hAnsi="Arial"/>
        </w:rPr>
        <w:t xml:space="preserve"> India and China may face significant delays </w:t>
      </w:r>
      <w:r w:rsidR="002E4BD1" w:rsidRPr="005F6732">
        <w:rPr>
          <w:rFonts w:ascii="Arial" w:hAnsi="Arial"/>
        </w:rPr>
        <w:t>(</w:t>
      </w:r>
      <w:r w:rsidR="00676721" w:rsidRPr="005F6732">
        <w:rPr>
          <w:rFonts w:ascii="Arial" w:hAnsi="Arial"/>
        </w:rPr>
        <w:t>5 to 6 years</w:t>
      </w:r>
      <w:r w:rsidR="002E4BD1" w:rsidRPr="005F6732">
        <w:rPr>
          <w:rFonts w:ascii="Arial" w:hAnsi="Arial"/>
        </w:rPr>
        <w:t>, on average</w:t>
      </w:r>
      <w:r w:rsidR="00676721" w:rsidRPr="005F6732">
        <w:rPr>
          <w:rFonts w:ascii="Arial" w:hAnsi="Arial"/>
        </w:rPr>
        <w:t xml:space="preserve">) in the second preference category </w:t>
      </w:r>
      <w:r w:rsidRPr="005F6732">
        <w:rPr>
          <w:rFonts w:ascii="Arial" w:hAnsi="Arial"/>
        </w:rPr>
        <w:t>because there is greater demand for permanent residency by individuals from these two countri</w:t>
      </w:r>
      <w:r w:rsidR="00925524">
        <w:rPr>
          <w:rFonts w:ascii="Arial" w:hAnsi="Arial"/>
        </w:rPr>
        <w:t>es.  In contrast</w:t>
      </w:r>
      <w:r w:rsidR="002E4BD1" w:rsidRPr="005F6732">
        <w:rPr>
          <w:rFonts w:ascii="Arial" w:hAnsi="Arial"/>
        </w:rPr>
        <w:t>, foreign nationals</w:t>
      </w:r>
      <w:r w:rsidR="00206D53">
        <w:rPr>
          <w:rFonts w:ascii="Arial" w:hAnsi="Arial"/>
        </w:rPr>
        <w:t xml:space="preserve"> born in</w:t>
      </w:r>
      <w:r w:rsidRPr="005F6732">
        <w:rPr>
          <w:rFonts w:ascii="Arial" w:hAnsi="Arial"/>
        </w:rPr>
        <w:t xml:space="preserve"> other countries may be able to obtain permanent residency in the second preference category much more quickly.  </w:t>
      </w:r>
    </w:p>
    <w:p w:rsidR="00AF07A4" w:rsidRPr="005F6732" w:rsidRDefault="00AF07A4" w:rsidP="0098707D">
      <w:pPr>
        <w:spacing w:after="0"/>
        <w:rPr>
          <w:rFonts w:ascii="Arial" w:hAnsi="Arial"/>
        </w:rPr>
      </w:pPr>
    </w:p>
    <w:p w:rsidR="00925524" w:rsidRDefault="00DD5AC5" w:rsidP="0098707D">
      <w:pPr>
        <w:spacing w:after="0"/>
        <w:rPr>
          <w:rFonts w:ascii="Arial" w:hAnsi="Arial"/>
        </w:rPr>
      </w:pPr>
      <w:r>
        <w:rPr>
          <w:rFonts w:ascii="Arial" w:hAnsi="Arial"/>
        </w:rPr>
        <w:t>E</w:t>
      </w:r>
      <w:r w:rsidR="00AF07A4" w:rsidRPr="005F6732">
        <w:rPr>
          <w:rFonts w:ascii="Arial" w:hAnsi="Arial"/>
        </w:rPr>
        <w:t>mployment-based permanent residence can be either a two- or three-step process, depending</w:t>
      </w:r>
      <w:r w:rsidR="007A32A0">
        <w:rPr>
          <w:rFonts w:ascii="Arial" w:hAnsi="Arial"/>
        </w:rPr>
        <w:t xml:space="preserve"> on the category chosen.  In an</w:t>
      </w:r>
      <w:r w:rsidR="00AF07A4" w:rsidRPr="005F6732">
        <w:rPr>
          <w:rFonts w:ascii="Arial" w:hAnsi="Arial"/>
        </w:rPr>
        <w:t xml:space="preserve"> EB-2</w:t>
      </w:r>
      <w:r w:rsidR="006B3133">
        <w:rPr>
          <w:rFonts w:ascii="Arial" w:hAnsi="Arial"/>
        </w:rPr>
        <w:t xml:space="preserve"> category</w:t>
      </w:r>
      <w:r w:rsidR="00AF07A4" w:rsidRPr="005F6732">
        <w:rPr>
          <w:rFonts w:ascii="Arial" w:hAnsi="Arial"/>
        </w:rPr>
        <w:t xml:space="preserve">, the first step is </w:t>
      </w:r>
      <w:r w:rsidR="006B3133">
        <w:rPr>
          <w:rFonts w:ascii="Arial" w:hAnsi="Arial"/>
        </w:rPr>
        <w:t xml:space="preserve">generally </w:t>
      </w:r>
      <w:r w:rsidR="00AF07A4" w:rsidRPr="005F6732">
        <w:rPr>
          <w:rFonts w:ascii="Arial" w:hAnsi="Arial"/>
        </w:rPr>
        <w:t>proving to the US Department of</w:t>
      </w:r>
      <w:r w:rsidR="00A90DB9">
        <w:rPr>
          <w:rFonts w:ascii="Arial" w:hAnsi="Arial"/>
        </w:rPr>
        <w:t xml:space="preserve"> Labor (USDOL) that there is no </w:t>
      </w:r>
      <w:r w:rsidR="00925524">
        <w:rPr>
          <w:rFonts w:ascii="Arial" w:hAnsi="Arial"/>
        </w:rPr>
        <w:t xml:space="preserve">qualified </w:t>
      </w:r>
      <w:r w:rsidR="00AF07A4" w:rsidRPr="005F6732">
        <w:rPr>
          <w:rFonts w:ascii="Arial" w:hAnsi="Arial"/>
        </w:rPr>
        <w:t>US worker</w:t>
      </w:r>
      <w:r w:rsidR="002E4BD1" w:rsidRPr="005F6732">
        <w:rPr>
          <w:rFonts w:ascii="Arial" w:hAnsi="Arial"/>
        </w:rPr>
        <w:t xml:space="preserve"> </w:t>
      </w:r>
      <w:r w:rsidR="00925524" w:rsidRPr="005F6732">
        <w:rPr>
          <w:rFonts w:ascii="Arial" w:hAnsi="Arial"/>
        </w:rPr>
        <w:t xml:space="preserve">available </w:t>
      </w:r>
      <w:r w:rsidR="002E4BD1" w:rsidRPr="005F6732">
        <w:rPr>
          <w:rFonts w:ascii="Arial" w:hAnsi="Arial"/>
        </w:rPr>
        <w:t xml:space="preserve">to take the position.  </w:t>
      </w:r>
      <w:r w:rsidR="006B3133">
        <w:rPr>
          <w:rFonts w:ascii="Arial" w:hAnsi="Arial"/>
        </w:rPr>
        <w:t xml:space="preserve">The </w:t>
      </w:r>
      <w:r w:rsidR="007A32A0">
        <w:rPr>
          <w:rFonts w:ascii="Arial" w:hAnsi="Arial"/>
        </w:rPr>
        <w:t>National Interest Waiver</w:t>
      </w:r>
      <w:r w:rsidR="00925524">
        <w:rPr>
          <w:rFonts w:ascii="Arial" w:hAnsi="Arial"/>
        </w:rPr>
        <w:t xml:space="preserve"> is the only second-preference category that waives labor certification</w:t>
      </w:r>
      <w:r w:rsidR="007A32A0">
        <w:rPr>
          <w:rFonts w:ascii="Arial" w:hAnsi="Arial"/>
        </w:rPr>
        <w:t xml:space="preserve">.  </w:t>
      </w:r>
      <w:r w:rsidR="00AF07A4" w:rsidRPr="005F6732">
        <w:rPr>
          <w:rFonts w:ascii="Arial" w:hAnsi="Arial"/>
        </w:rPr>
        <w:t>The second step is the University’s petition to the U.S. Citizenship and Immigration Services</w:t>
      </w:r>
      <w:r w:rsidR="00925524">
        <w:rPr>
          <w:rFonts w:ascii="Arial" w:hAnsi="Arial"/>
        </w:rPr>
        <w:t xml:space="preserve"> (USCIS) to get</w:t>
      </w:r>
      <w:r w:rsidR="002E4BD1" w:rsidRPr="005F6732">
        <w:rPr>
          <w:rFonts w:ascii="Arial" w:hAnsi="Arial"/>
        </w:rPr>
        <w:t xml:space="preserve"> the foreign national</w:t>
      </w:r>
      <w:r w:rsidR="00AF07A4" w:rsidRPr="005F6732">
        <w:rPr>
          <w:rFonts w:ascii="Arial" w:hAnsi="Arial"/>
        </w:rPr>
        <w:t xml:space="preserve"> </w:t>
      </w:r>
      <w:r w:rsidR="00925524">
        <w:rPr>
          <w:rFonts w:ascii="Arial" w:hAnsi="Arial"/>
        </w:rPr>
        <w:t xml:space="preserve">classified </w:t>
      </w:r>
      <w:r w:rsidR="00AF07A4" w:rsidRPr="005F6732">
        <w:rPr>
          <w:rFonts w:ascii="Arial" w:hAnsi="Arial"/>
        </w:rPr>
        <w:t xml:space="preserve">in the appropriate preference category.  The third </w:t>
      </w:r>
      <w:r w:rsidR="002E4BD1" w:rsidRPr="005F6732">
        <w:rPr>
          <w:rFonts w:ascii="Arial" w:hAnsi="Arial"/>
        </w:rPr>
        <w:t>step is the foreign national</w:t>
      </w:r>
      <w:r w:rsidR="00925524">
        <w:rPr>
          <w:rFonts w:ascii="Arial" w:hAnsi="Arial"/>
        </w:rPr>
        <w:t xml:space="preserve">’s personal application to adjust to </w:t>
      </w:r>
      <w:r w:rsidR="00AF07A4" w:rsidRPr="005F6732">
        <w:rPr>
          <w:rFonts w:ascii="Arial" w:hAnsi="Arial"/>
        </w:rPr>
        <w:t xml:space="preserve">permanent residence.  </w:t>
      </w:r>
    </w:p>
    <w:p w:rsidR="00925524" w:rsidRDefault="00925524" w:rsidP="0098707D">
      <w:pPr>
        <w:spacing w:after="0"/>
        <w:rPr>
          <w:rFonts w:ascii="Arial" w:hAnsi="Arial"/>
        </w:rPr>
      </w:pPr>
    </w:p>
    <w:p w:rsidR="0098707D" w:rsidRDefault="00590BB9" w:rsidP="0098707D">
      <w:pPr>
        <w:spacing w:after="0"/>
        <w:rPr>
          <w:rFonts w:ascii="Arial" w:hAnsi="Arial"/>
        </w:rPr>
      </w:pPr>
      <w:r w:rsidRPr="005F6732">
        <w:rPr>
          <w:rFonts w:ascii="Arial" w:hAnsi="Arial"/>
        </w:rPr>
        <w:t xml:space="preserve">In some cases, only the first and second steps </w:t>
      </w:r>
      <w:r w:rsidR="00925524">
        <w:rPr>
          <w:rFonts w:ascii="Arial" w:hAnsi="Arial"/>
        </w:rPr>
        <w:t xml:space="preserve">of the process </w:t>
      </w:r>
      <w:r w:rsidRPr="005F6732">
        <w:rPr>
          <w:rFonts w:ascii="Arial" w:hAnsi="Arial"/>
        </w:rPr>
        <w:t>can be completed</w:t>
      </w:r>
      <w:r w:rsidR="002E4BD1" w:rsidRPr="005F6732">
        <w:rPr>
          <w:rFonts w:ascii="Arial" w:hAnsi="Arial"/>
        </w:rPr>
        <w:t xml:space="preserve"> right away</w:t>
      </w:r>
      <w:r w:rsidRPr="005F6732">
        <w:rPr>
          <w:rFonts w:ascii="Arial" w:hAnsi="Arial"/>
        </w:rPr>
        <w:t xml:space="preserve">; </w:t>
      </w:r>
      <w:r w:rsidR="002E4BD1" w:rsidRPr="005F6732">
        <w:rPr>
          <w:rFonts w:ascii="Arial" w:hAnsi="Arial"/>
        </w:rPr>
        <w:t>and the foreign national must wait for</w:t>
      </w:r>
      <w:r w:rsidRPr="005F6732">
        <w:rPr>
          <w:rFonts w:ascii="Arial" w:hAnsi="Arial"/>
        </w:rPr>
        <w:t xml:space="preserve"> the third step, the application </w:t>
      </w:r>
      <w:r w:rsidR="00925524">
        <w:rPr>
          <w:rFonts w:ascii="Arial" w:hAnsi="Arial"/>
        </w:rPr>
        <w:t>to adjust to</w:t>
      </w:r>
      <w:r w:rsidRPr="005F6732">
        <w:rPr>
          <w:rFonts w:ascii="Arial" w:hAnsi="Arial"/>
        </w:rPr>
        <w:t xml:space="preserve"> perm</w:t>
      </w:r>
      <w:r w:rsidR="00925524">
        <w:rPr>
          <w:rFonts w:ascii="Arial" w:hAnsi="Arial"/>
        </w:rPr>
        <w:t xml:space="preserve">anent residence, until </w:t>
      </w:r>
      <w:r w:rsidRPr="005F6732">
        <w:rPr>
          <w:rFonts w:ascii="Arial" w:hAnsi="Arial"/>
        </w:rPr>
        <w:t>an immigrant visa</w:t>
      </w:r>
      <w:r w:rsidR="00925524">
        <w:rPr>
          <w:rFonts w:ascii="Arial" w:hAnsi="Arial"/>
        </w:rPr>
        <w:t xml:space="preserve"> is </w:t>
      </w:r>
      <w:r w:rsidR="00925524" w:rsidRPr="005F6732">
        <w:rPr>
          <w:rFonts w:ascii="Arial" w:hAnsi="Arial"/>
        </w:rPr>
        <w:t>available</w:t>
      </w:r>
      <w:r w:rsidRPr="005F6732">
        <w:rPr>
          <w:rFonts w:ascii="Arial" w:hAnsi="Arial"/>
        </w:rPr>
        <w:t xml:space="preserve">.  </w:t>
      </w:r>
      <w:r w:rsidR="002E4BD1" w:rsidRPr="005F6732">
        <w:rPr>
          <w:rFonts w:ascii="Arial" w:hAnsi="Arial"/>
        </w:rPr>
        <w:t>Neither the EB-1</w:t>
      </w:r>
      <w:r w:rsidR="00DD5AC5">
        <w:rPr>
          <w:rFonts w:ascii="Arial" w:hAnsi="Arial"/>
        </w:rPr>
        <w:t xml:space="preserve"> </w:t>
      </w:r>
      <w:r w:rsidR="002E4BD1" w:rsidRPr="005F6732">
        <w:rPr>
          <w:rFonts w:ascii="Arial" w:hAnsi="Arial"/>
        </w:rPr>
        <w:t>categories nor National Interest Waivers in the EB-2 category require labor certification by</w:t>
      </w:r>
      <w:r w:rsidR="00AF07A4" w:rsidRPr="005F6732">
        <w:rPr>
          <w:rFonts w:ascii="Arial" w:hAnsi="Arial"/>
        </w:rPr>
        <w:t xml:space="preserve"> the USDOL.  The first step in these cases </w:t>
      </w:r>
      <w:r w:rsidR="007A32A0">
        <w:rPr>
          <w:rFonts w:ascii="Arial" w:hAnsi="Arial"/>
        </w:rPr>
        <w:t xml:space="preserve">is the University’s </w:t>
      </w:r>
      <w:r w:rsidR="00A90DB9">
        <w:rPr>
          <w:rFonts w:ascii="Arial" w:hAnsi="Arial"/>
        </w:rPr>
        <w:t xml:space="preserve">I-140 </w:t>
      </w:r>
      <w:r w:rsidR="007A32A0">
        <w:rPr>
          <w:rFonts w:ascii="Arial" w:hAnsi="Arial"/>
        </w:rPr>
        <w:t>petition</w:t>
      </w:r>
      <w:r w:rsidR="00A90DB9">
        <w:rPr>
          <w:rFonts w:ascii="Arial" w:hAnsi="Arial"/>
        </w:rPr>
        <w:t xml:space="preserve"> to USCIS</w:t>
      </w:r>
      <w:r w:rsidR="007A32A0">
        <w:rPr>
          <w:rFonts w:ascii="Arial" w:hAnsi="Arial"/>
        </w:rPr>
        <w:t xml:space="preserve">.  </w:t>
      </w:r>
    </w:p>
    <w:p w:rsidR="00FA5ABB" w:rsidRPr="005F6732" w:rsidRDefault="00FA5ABB" w:rsidP="0098707D">
      <w:pPr>
        <w:spacing w:after="0"/>
        <w:rPr>
          <w:rFonts w:ascii="Arial" w:hAnsi="Arial"/>
        </w:rPr>
      </w:pPr>
    </w:p>
    <w:p w:rsidR="00A87B79" w:rsidRPr="005F6732" w:rsidRDefault="00A87B79" w:rsidP="0098707D">
      <w:pPr>
        <w:spacing w:after="0"/>
        <w:rPr>
          <w:rFonts w:ascii="Arial" w:hAnsi="Arial"/>
          <w:b/>
        </w:rPr>
      </w:pPr>
      <w:r w:rsidRPr="005F6732">
        <w:rPr>
          <w:rFonts w:ascii="Arial" w:hAnsi="Arial"/>
          <w:b/>
        </w:rPr>
        <w:t>Potential Costs Associated with the LPR Process</w:t>
      </w:r>
    </w:p>
    <w:p w:rsidR="00A87B79" w:rsidRPr="005F6732" w:rsidRDefault="00A87B79" w:rsidP="0098707D">
      <w:pPr>
        <w:spacing w:after="0"/>
        <w:rPr>
          <w:rFonts w:ascii="Arial" w:hAnsi="Arial"/>
          <w:b/>
        </w:rPr>
      </w:pPr>
    </w:p>
    <w:p w:rsidR="000F5E2D" w:rsidRPr="005F6732" w:rsidRDefault="000F5E2D" w:rsidP="00956344">
      <w:pPr>
        <w:rPr>
          <w:rFonts w:ascii="Arial" w:hAnsi="Arial" w:cs="Arial"/>
        </w:rPr>
      </w:pPr>
      <w:r w:rsidRPr="005F6732">
        <w:rPr>
          <w:rFonts w:ascii="Arial" w:hAnsi="Arial" w:cs="Arial"/>
        </w:rPr>
        <w:t xml:space="preserve">Sponsoring an individual for lawful permanent residency based on employment can be expensive, although the actual cost will depend on the category chosen and other factors.  U.S. law requires the employer to pay all costs associated with the labor certification process, including advertising and any legal fees.  </w:t>
      </w:r>
      <w:r w:rsidR="009B09F8">
        <w:rPr>
          <w:rFonts w:ascii="Arial" w:hAnsi="Arial" w:cs="Arial"/>
        </w:rPr>
        <w:t>The hiring unit is expected</w:t>
      </w:r>
      <w:r w:rsidRPr="005F6732">
        <w:rPr>
          <w:rFonts w:ascii="Arial" w:hAnsi="Arial" w:cs="Arial"/>
        </w:rPr>
        <w:t xml:space="preserve"> </w:t>
      </w:r>
      <w:r w:rsidR="006303EE" w:rsidRPr="005F6732">
        <w:rPr>
          <w:rFonts w:ascii="Arial" w:hAnsi="Arial" w:cs="Arial"/>
        </w:rPr>
        <w:t xml:space="preserve">to </w:t>
      </w:r>
      <w:r w:rsidRPr="005F6732">
        <w:rPr>
          <w:rFonts w:ascii="Arial" w:hAnsi="Arial" w:cs="Arial"/>
        </w:rPr>
        <w:t xml:space="preserve">pay the filing fees for the I-140 petition, </w:t>
      </w:r>
      <w:r w:rsidR="009B09F8">
        <w:rPr>
          <w:rFonts w:ascii="Arial" w:hAnsi="Arial" w:cs="Arial"/>
        </w:rPr>
        <w:t xml:space="preserve">where the university is </w:t>
      </w:r>
      <w:r w:rsidR="009B09F8">
        <w:rPr>
          <w:rFonts w:ascii="Arial" w:hAnsi="Arial" w:cs="Arial"/>
        </w:rPr>
        <w:lastRenderedPageBreak/>
        <w:t>the petitioner</w:t>
      </w:r>
      <w:r w:rsidR="00FA5ABB">
        <w:rPr>
          <w:rFonts w:ascii="Arial" w:hAnsi="Arial" w:cs="Arial"/>
        </w:rPr>
        <w:t>.  E</w:t>
      </w:r>
      <w:r w:rsidR="00956344" w:rsidRPr="005F6732">
        <w:rPr>
          <w:rFonts w:ascii="Arial" w:hAnsi="Arial" w:cs="Arial"/>
        </w:rPr>
        <w:t>mployees may “sel</w:t>
      </w:r>
      <w:r w:rsidR="009B09F8">
        <w:rPr>
          <w:rFonts w:ascii="Arial" w:hAnsi="Arial" w:cs="Arial"/>
        </w:rPr>
        <w:t>f-petition” for two</w:t>
      </w:r>
      <w:r w:rsidR="00956344" w:rsidRPr="005F6732">
        <w:rPr>
          <w:rFonts w:ascii="Arial" w:hAnsi="Arial" w:cs="Arial"/>
        </w:rPr>
        <w:t xml:space="preserve"> employment-based </w:t>
      </w:r>
      <w:r w:rsidR="009B09F8">
        <w:rPr>
          <w:rFonts w:ascii="Arial" w:hAnsi="Arial" w:cs="Arial"/>
        </w:rPr>
        <w:t>categories,1</w:t>
      </w:r>
      <w:r w:rsidR="009B09F8" w:rsidRPr="009B09F8">
        <w:rPr>
          <w:rFonts w:ascii="Arial" w:hAnsi="Arial" w:cs="Arial"/>
          <w:vertAlign w:val="superscript"/>
        </w:rPr>
        <w:t>st</w:t>
      </w:r>
      <w:r w:rsidR="009B09F8">
        <w:rPr>
          <w:rFonts w:ascii="Arial" w:hAnsi="Arial" w:cs="Arial"/>
        </w:rPr>
        <w:t xml:space="preserve"> preference</w:t>
      </w:r>
      <w:r w:rsidR="00F04A10" w:rsidRPr="005F6732">
        <w:rPr>
          <w:rFonts w:ascii="Arial" w:hAnsi="Arial" w:cs="Arial"/>
        </w:rPr>
        <w:t xml:space="preserve"> Extraordinary Ability and </w:t>
      </w:r>
      <w:r w:rsidR="009B09F8">
        <w:rPr>
          <w:rFonts w:ascii="Arial" w:hAnsi="Arial" w:cs="Arial"/>
        </w:rPr>
        <w:t>2</w:t>
      </w:r>
      <w:r w:rsidR="009B09F8" w:rsidRPr="009B09F8">
        <w:rPr>
          <w:rFonts w:ascii="Arial" w:hAnsi="Arial" w:cs="Arial"/>
          <w:vertAlign w:val="superscript"/>
        </w:rPr>
        <w:t>nd</w:t>
      </w:r>
      <w:r w:rsidR="009B09F8">
        <w:rPr>
          <w:rFonts w:ascii="Arial" w:hAnsi="Arial" w:cs="Arial"/>
        </w:rPr>
        <w:t xml:space="preserve"> preference </w:t>
      </w:r>
      <w:r w:rsidR="00FA5ABB">
        <w:rPr>
          <w:rFonts w:ascii="Arial" w:hAnsi="Arial" w:cs="Arial"/>
        </w:rPr>
        <w:t xml:space="preserve">National Interest Waivers.  </w:t>
      </w:r>
      <w:r w:rsidR="009B09F8">
        <w:rPr>
          <w:rFonts w:ascii="Arial" w:hAnsi="Arial" w:cs="Arial"/>
        </w:rPr>
        <w:t>The hiring unit may choose to pay the costs for the final step of adjusting to permanent residency status or consular processing</w:t>
      </w:r>
      <w:r w:rsidR="00F04A10" w:rsidRPr="005F6732">
        <w:rPr>
          <w:rFonts w:ascii="Arial" w:hAnsi="Arial" w:cs="Arial"/>
        </w:rPr>
        <w:t>.  If the foreign national</w:t>
      </w:r>
      <w:r w:rsidRPr="005F6732">
        <w:rPr>
          <w:rFonts w:ascii="Arial" w:hAnsi="Arial" w:cs="Arial"/>
        </w:rPr>
        <w:t xml:space="preserve"> chooses to self-petition</w:t>
      </w:r>
      <w:r w:rsidR="009B09F8">
        <w:rPr>
          <w:rFonts w:ascii="Arial" w:hAnsi="Arial" w:cs="Arial"/>
        </w:rPr>
        <w:t>, they are</w:t>
      </w:r>
      <w:r w:rsidR="007A32A0">
        <w:rPr>
          <w:rFonts w:ascii="Arial" w:hAnsi="Arial" w:cs="Arial"/>
        </w:rPr>
        <w:t xml:space="preserve"> generally</w:t>
      </w:r>
      <w:r w:rsidR="00FA5ABB">
        <w:rPr>
          <w:rFonts w:ascii="Arial" w:hAnsi="Arial" w:cs="Arial"/>
        </w:rPr>
        <w:t xml:space="preserve"> responsible for all</w:t>
      </w:r>
      <w:r w:rsidR="009B09F8">
        <w:rPr>
          <w:rFonts w:ascii="Arial" w:hAnsi="Arial" w:cs="Arial"/>
        </w:rPr>
        <w:t xml:space="preserve"> costs</w:t>
      </w:r>
      <w:r w:rsidRPr="005F6732">
        <w:rPr>
          <w:rFonts w:ascii="Arial" w:hAnsi="Arial" w:cs="Arial"/>
        </w:rPr>
        <w:t xml:space="preserve">.   </w:t>
      </w:r>
    </w:p>
    <w:p w:rsidR="00F04A10" w:rsidRPr="005F6732" w:rsidRDefault="00F04A10" w:rsidP="00F04A10">
      <w:pPr>
        <w:spacing w:after="0" w:line="240" w:lineRule="auto"/>
        <w:jc w:val="center"/>
        <w:rPr>
          <w:rFonts w:ascii="Arial" w:hAnsi="Arial" w:cs="Arial"/>
          <w:b/>
          <w:i/>
        </w:rPr>
      </w:pPr>
      <w:r w:rsidRPr="005F6732">
        <w:rPr>
          <w:rFonts w:ascii="Arial" w:hAnsi="Arial" w:cs="Arial"/>
          <w:b/>
          <w:i/>
        </w:rPr>
        <w:t>ISSS Services</w:t>
      </w:r>
    </w:p>
    <w:p w:rsidR="00F04A10" w:rsidRPr="005F6732" w:rsidRDefault="00F04A10" w:rsidP="00F04A10">
      <w:pPr>
        <w:spacing w:after="0" w:line="240" w:lineRule="auto"/>
      </w:pPr>
    </w:p>
    <w:p w:rsidR="00F04A10" w:rsidRPr="005F6732" w:rsidRDefault="00A90DB9" w:rsidP="0062188B">
      <w:pPr>
        <w:spacing w:after="0" w:line="240" w:lineRule="auto"/>
        <w:rPr>
          <w:rFonts w:ascii="Arial" w:hAnsi="Arial" w:cs="Arial"/>
        </w:rPr>
      </w:pPr>
      <w:r>
        <w:rPr>
          <w:rFonts w:ascii="Arial" w:hAnsi="Arial" w:cs="Arial"/>
        </w:rPr>
        <w:t xml:space="preserve">For all cases initiated after January 1, 2020, </w:t>
      </w:r>
      <w:r w:rsidR="00F04A10" w:rsidRPr="005F6732">
        <w:rPr>
          <w:rFonts w:ascii="Arial" w:hAnsi="Arial" w:cs="Arial"/>
        </w:rPr>
        <w:t xml:space="preserve">ISSS will </w:t>
      </w:r>
      <w:r w:rsidR="00414318" w:rsidRPr="005F6732">
        <w:rPr>
          <w:rFonts w:ascii="Arial" w:hAnsi="Arial" w:cs="Arial"/>
        </w:rPr>
        <w:t>engag</w:t>
      </w:r>
      <w:r w:rsidR="006167DE">
        <w:rPr>
          <w:rFonts w:ascii="Arial" w:hAnsi="Arial" w:cs="Arial"/>
        </w:rPr>
        <w:t>e outside immigration counsel to prepare and submit or file immigration paperwork for all steps of the permanent residency process.  T</w:t>
      </w:r>
      <w:r w:rsidR="00414318" w:rsidRPr="005F6732">
        <w:rPr>
          <w:rFonts w:ascii="Arial" w:hAnsi="Arial" w:cs="Arial"/>
        </w:rPr>
        <w:t>he hiring unit is responsible for paying the legal fees and costs, in additio</w:t>
      </w:r>
      <w:r w:rsidR="009B09F8">
        <w:rPr>
          <w:rFonts w:ascii="Arial" w:hAnsi="Arial" w:cs="Arial"/>
        </w:rPr>
        <w:t>n to any</w:t>
      </w:r>
      <w:r w:rsidR="0062188B">
        <w:rPr>
          <w:rFonts w:ascii="Arial" w:hAnsi="Arial" w:cs="Arial"/>
        </w:rPr>
        <w:t xml:space="preserve"> advertising costs. </w:t>
      </w:r>
    </w:p>
    <w:p w:rsidR="0062188B" w:rsidRDefault="0062188B" w:rsidP="0062188B">
      <w:pPr>
        <w:spacing w:after="0" w:line="240" w:lineRule="auto"/>
        <w:rPr>
          <w:rFonts w:ascii="Arial" w:hAnsi="Arial" w:cs="Arial"/>
          <w:b/>
          <w:i/>
        </w:rPr>
      </w:pPr>
    </w:p>
    <w:p w:rsidR="005C4216" w:rsidRDefault="00FA5ABB" w:rsidP="005C4216">
      <w:pPr>
        <w:rPr>
          <w:rFonts w:ascii="Arial" w:hAnsi="Arial" w:cs="Arial"/>
        </w:rPr>
      </w:pPr>
      <w:r w:rsidRPr="004D5EAD">
        <w:rPr>
          <w:rFonts w:ascii="Arial" w:hAnsi="Arial" w:cs="Arial"/>
        </w:rPr>
        <w:t xml:space="preserve">The Adjustment of Status (AOS) application and other associated applications (Forms I-485, I-765 application for work authorization, and I-131 application for travel authorization) are viewed as </w:t>
      </w:r>
      <w:r w:rsidRPr="004D5EAD">
        <w:rPr>
          <w:rFonts w:ascii="Arial" w:hAnsi="Arial" w:cs="Arial"/>
          <w:b/>
          <w:bCs/>
        </w:rPr>
        <w:t>individual applications</w:t>
      </w:r>
      <w:r w:rsidRPr="004D5EAD">
        <w:rPr>
          <w:rFonts w:ascii="Arial" w:hAnsi="Arial" w:cs="Arial"/>
        </w:rPr>
        <w:t xml:space="preserve">, and not applications prepared on behalf of or sponsored by the employer.  This means that ISSS cannot assist </w:t>
      </w:r>
      <w:r w:rsidR="005C4216" w:rsidRPr="004D5EAD">
        <w:rPr>
          <w:rFonts w:ascii="Arial" w:hAnsi="Arial" w:cs="Arial"/>
        </w:rPr>
        <w:t xml:space="preserve">employees </w:t>
      </w:r>
      <w:r w:rsidRPr="004D5EAD">
        <w:rPr>
          <w:rFonts w:ascii="Arial" w:hAnsi="Arial" w:cs="Arial"/>
        </w:rPr>
        <w:t>in preparing these applications. We do not generally answer questions regarding the preparation of these applications; review documents or forms; or give advice on strategy or timing of AOS applications.</w:t>
      </w:r>
      <w:r w:rsidR="005C4216">
        <w:rPr>
          <w:rFonts w:ascii="Arial" w:hAnsi="Arial" w:cs="Arial"/>
        </w:rPr>
        <w:t xml:space="preserve">  </w:t>
      </w:r>
    </w:p>
    <w:p w:rsidR="005C4216" w:rsidRPr="005C4216" w:rsidRDefault="005C4216" w:rsidP="005C4216">
      <w:pPr>
        <w:rPr>
          <w:rFonts w:ascii="Arial" w:hAnsi="Arial" w:cs="Arial"/>
        </w:rPr>
      </w:pPr>
      <w:r>
        <w:rPr>
          <w:rFonts w:ascii="Arial" w:hAnsi="Arial" w:cs="Arial"/>
        </w:rPr>
        <w:t>A</w:t>
      </w:r>
      <w:r>
        <w:rPr>
          <w:rFonts w:ascii="Arial" w:hAnsi="Arial" w:cs="Arial"/>
          <w:color w:val="000000"/>
        </w:rPr>
        <w:t>ll I-140 employment-based adjustmen</w:t>
      </w:r>
      <w:r w:rsidR="00F267EA">
        <w:rPr>
          <w:rFonts w:ascii="Arial" w:hAnsi="Arial" w:cs="Arial"/>
          <w:color w:val="000000"/>
        </w:rPr>
        <w:t xml:space="preserve">t of status applicants are also </w:t>
      </w:r>
      <w:r>
        <w:rPr>
          <w:rFonts w:ascii="Arial" w:hAnsi="Arial" w:cs="Arial"/>
          <w:color w:val="000000"/>
        </w:rPr>
        <w:t>subject to an in-person interview as part of the adjustment process.</w:t>
      </w:r>
      <w:r>
        <w:rPr>
          <w:rFonts w:ascii="Arial" w:hAnsi="Arial" w:cs="Arial"/>
        </w:rPr>
        <w:t xml:space="preserve">  </w:t>
      </w:r>
    </w:p>
    <w:p w:rsidR="00F04A10" w:rsidRPr="005F6732" w:rsidRDefault="00F04A10" w:rsidP="0062188B">
      <w:pPr>
        <w:spacing w:after="0" w:line="240" w:lineRule="auto"/>
        <w:jc w:val="center"/>
        <w:rPr>
          <w:rFonts w:ascii="Arial" w:hAnsi="Arial" w:cs="Arial"/>
          <w:b/>
        </w:rPr>
      </w:pPr>
      <w:r w:rsidRPr="005F6732">
        <w:rPr>
          <w:rFonts w:ascii="Arial" w:hAnsi="Arial" w:cs="Arial"/>
          <w:b/>
          <w:i/>
        </w:rPr>
        <w:t>Attorney’s Fees and Costs</w:t>
      </w:r>
    </w:p>
    <w:p w:rsidR="00F04A10" w:rsidRPr="005F6732" w:rsidRDefault="00F04A10" w:rsidP="00F04A10">
      <w:pPr>
        <w:spacing w:after="0" w:line="240" w:lineRule="auto"/>
        <w:rPr>
          <w:rFonts w:ascii="Arial" w:hAnsi="Arial" w:cs="Arial"/>
        </w:rPr>
      </w:pPr>
    </w:p>
    <w:p w:rsidR="00F04A10" w:rsidRDefault="00F04A10" w:rsidP="00F04A10">
      <w:pPr>
        <w:spacing w:after="0" w:line="240" w:lineRule="auto"/>
        <w:rPr>
          <w:rFonts w:ascii="Arial" w:hAnsi="Arial" w:cs="Arial"/>
        </w:rPr>
      </w:pPr>
      <w:r w:rsidRPr="005F6732">
        <w:rPr>
          <w:rFonts w:ascii="Arial" w:hAnsi="Arial" w:cs="Arial"/>
        </w:rPr>
        <w:t xml:space="preserve">Although fees and costs may vary with the circumstances of individual cases, the amounts listed below are representative of the fees and costs an attorney will charge for these services.  ISSS has negotiated set fees with the attorneys that we use.  </w:t>
      </w:r>
    </w:p>
    <w:p w:rsidR="00F267EA" w:rsidRPr="005F6732" w:rsidRDefault="00F267EA" w:rsidP="00F04A10">
      <w:pPr>
        <w:spacing w:after="0" w:line="240" w:lineRule="auto"/>
        <w:rPr>
          <w:rFonts w:ascii="Arial" w:hAnsi="Arial" w:cs="Arial"/>
        </w:rPr>
      </w:pPr>
    </w:p>
    <w:p w:rsidR="00F04A10" w:rsidRPr="005F6732" w:rsidRDefault="00F04A10" w:rsidP="00F04A1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28"/>
      </w:tblGrid>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jc w:val="center"/>
              <w:rPr>
                <w:rFonts w:ascii="Arial" w:hAnsi="Arial" w:cs="Arial"/>
                <w:b/>
                <w:sz w:val="20"/>
                <w:szCs w:val="20"/>
              </w:rPr>
            </w:pPr>
            <w:r w:rsidRPr="005F6732">
              <w:rPr>
                <w:rFonts w:ascii="Arial" w:hAnsi="Arial" w:cs="Arial"/>
                <w:b/>
                <w:sz w:val="20"/>
                <w:szCs w:val="20"/>
              </w:rPr>
              <w:t>Service</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jc w:val="center"/>
              <w:rPr>
                <w:rFonts w:ascii="Arial" w:hAnsi="Arial" w:cs="Arial"/>
                <w:b/>
                <w:sz w:val="20"/>
                <w:szCs w:val="20"/>
              </w:rPr>
            </w:pPr>
            <w:r w:rsidRPr="005F6732">
              <w:rPr>
                <w:rFonts w:ascii="Arial" w:hAnsi="Arial" w:cs="Arial"/>
                <w:b/>
                <w:sz w:val="20"/>
                <w:szCs w:val="20"/>
              </w:rPr>
              <w:t>Approximate Fee</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Basic Labor Certification</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5C4216">
            <w:pPr>
              <w:spacing w:after="0" w:line="240" w:lineRule="auto"/>
              <w:jc w:val="center"/>
              <w:rPr>
                <w:rFonts w:ascii="Arial" w:hAnsi="Arial" w:cs="Arial"/>
                <w:sz w:val="20"/>
                <w:szCs w:val="20"/>
              </w:rPr>
            </w:pPr>
            <w:r w:rsidRPr="005F6732">
              <w:rPr>
                <w:rFonts w:ascii="Arial" w:hAnsi="Arial" w:cs="Arial"/>
                <w:sz w:val="20"/>
                <w:szCs w:val="20"/>
              </w:rPr>
              <w:t>$</w:t>
            </w:r>
            <w:r w:rsidR="000478AA">
              <w:rPr>
                <w:rFonts w:ascii="Arial" w:hAnsi="Arial" w:cs="Arial"/>
                <w:sz w:val="20"/>
                <w:szCs w:val="20"/>
              </w:rPr>
              <w:t>6</w:t>
            </w:r>
            <w:r w:rsidR="005C4216">
              <w:rPr>
                <w:rFonts w:ascii="Arial" w:hAnsi="Arial" w:cs="Arial"/>
                <w:sz w:val="20"/>
                <w:szCs w:val="20"/>
              </w:rPr>
              <w:t>,000</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Special Handling Labor Certification for a University Teacher</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5C4216">
            <w:pPr>
              <w:spacing w:after="0" w:line="240" w:lineRule="auto"/>
              <w:jc w:val="center"/>
              <w:rPr>
                <w:rFonts w:ascii="Arial" w:hAnsi="Arial" w:cs="Arial"/>
                <w:sz w:val="20"/>
                <w:szCs w:val="20"/>
              </w:rPr>
            </w:pPr>
            <w:r w:rsidRPr="005F6732">
              <w:rPr>
                <w:rFonts w:ascii="Arial" w:hAnsi="Arial" w:cs="Arial"/>
                <w:sz w:val="20"/>
                <w:szCs w:val="20"/>
              </w:rPr>
              <w:t>$</w:t>
            </w:r>
            <w:r w:rsidR="000478AA">
              <w:rPr>
                <w:rFonts w:ascii="Arial" w:hAnsi="Arial" w:cs="Arial"/>
                <w:sz w:val="20"/>
                <w:szCs w:val="20"/>
              </w:rPr>
              <w:t>5</w:t>
            </w:r>
            <w:r w:rsidR="005F5A90">
              <w:rPr>
                <w:rFonts w:ascii="Arial" w:hAnsi="Arial" w:cs="Arial"/>
                <w:sz w:val="20"/>
                <w:szCs w:val="20"/>
              </w:rPr>
              <w:t>,5</w:t>
            </w:r>
            <w:r w:rsidR="005C4216">
              <w:rPr>
                <w:rFonts w:ascii="Arial" w:hAnsi="Arial" w:cs="Arial"/>
                <w:sz w:val="20"/>
                <w:szCs w:val="20"/>
              </w:rPr>
              <w:t>00</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Response to U.S. Dept. of Labor Audit of Labor Certification</w:t>
            </w:r>
          </w:p>
        </w:tc>
        <w:tc>
          <w:tcPr>
            <w:tcW w:w="2628" w:type="dxa"/>
            <w:tcBorders>
              <w:top w:val="single" w:sz="4" w:space="0" w:color="auto"/>
              <w:left w:val="single" w:sz="4" w:space="0" w:color="auto"/>
              <w:bottom w:val="single" w:sz="4" w:space="0" w:color="auto"/>
              <w:right w:val="single" w:sz="4" w:space="0" w:color="auto"/>
            </w:tcBorders>
          </w:tcPr>
          <w:p w:rsidR="00F04A10" w:rsidRPr="005F6732" w:rsidRDefault="000478AA" w:rsidP="00F04A10">
            <w:pPr>
              <w:spacing w:after="0" w:line="240" w:lineRule="auto"/>
              <w:jc w:val="center"/>
              <w:rPr>
                <w:rFonts w:ascii="Arial" w:hAnsi="Arial" w:cs="Arial"/>
                <w:sz w:val="20"/>
                <w:szCs w:val="20"/>
              </w:rPr>
            </w:pPr>
            <w:r>
              <w:rPr>
                <w:rFonts w:ascii="Arial" w:hAnsi="Arial" w:cs="Arial"/>
                <w:sz w:val="20"/>
                <w:szCs w:val="20"/>
              </w:rPr>
              <w:t>$1,5</w:t>
            </w:r>
            <w:r w:rsidR="00F04A10" w:rsidRPr="005F6732">
              <w:rPr>
                <w:rFonts w:ascii="Arial" w:hAnsi="Arial" w:cs="Arial"/>
                <w:sz w:val="20"/>
                <w:szCs w:val="20"/>
              </w:rPr>
              <w:t>00</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I-140 not requiring Labor Certification (EB-1 categories or National Interest Waiver)</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5C4216">
            <w:pPr>
              <w:spacing w:after="0" w:line="240" w:lineRule="auto"/>
              <w:jc w:val="center"/>
              <w:rPr>
                <w:rFonts w:ascii="Arial" w:hAnsi="Arial" w:cs="Arial"/>
                <w:sz w:val="20"/>
                <w:szCs w:val="20"/>
              </w:rPr>
            </w:pPr>
            <w:r w:rsidRPr="005F6732">
              <w:rPr>
                <w:rFonts w:ascii="Arial" w:hAnsi="Arial" w:cs="Arial"/>
                <w:sz w:val="20"/>
                <w:szCs w:val="20"/>
              </w:rPr>
              <w:t>$</w:t>
            </w:r>
            <w:r w:rsidR="000478AA">
              <w:rPr>
                <w:rFonts w:ascii="Arial" w:hAnsi="Arial" w:cs="Arial"/>
                <w:sz w:val="20"/>
                <w:szCs w:val="20"/>
              </w:rPr>
              <w:t>7</w:t>
            </w:r>
            <w:r w:rsidR="005C4216">
              <w:rPr>
                <w:rFonts w:ascii="Arial" w:hAnsi="Arial" w:cs="Arial"/>
                <w:sz w:val="20"/>
                <w:szCs w:val="20"/>
              </w:rPr>
              <w:t>,000</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I-140 after Labor Certification (if Labor Certification required)</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0478AA" w:rsidP="00F04A10">
            <w:pPr>
              <w:spacing w:after="0" w:line="240" w:lineRule="auto"/>
              <w:jc w:val="center"/>
              <w:rPr>
                <w:rFonts w:ascii="Arial" w:hAnsi="Arial" w:cs="Arial"/>
                <w:sz w:val="20"/>
                <w:szCs w:val="20"/>
              </w:rPr>
            </w:pPr>
            <w:r>
              <w:rPr>
                <w:rFonts w:ascii="Arial" w:hAnsi="Arial" w:cs="Arial"/>
                <w:sz w:val="20"/>
                <w:szCs w:val="20"/>
              </w:rPr>
              <w:t>$2,0</w:t>
            </w:r>
            <w:r w:rsidR="005C4216">
              <w:rPr>
                <w:rFonts w:ascii="Arial" w:hAnsi="Arial" w:cs="Arial"/>
                <w:sz w:val="20"/>
                <w:szCs w:val="20"/>
              </w:rPr>
              <w:t>00</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5F6732" w:rsidP="00F04A10">
            <w:pPr>
              <w:spacing w:after="0" w:line="240" w:lineRule="auto"/>
              <w:rPr>
                <w:rFonts w:ascii="Arial" w:hAnsi="Arial" w:cs="Arial"/>
                <w:sz w:val="20"/>
                <w:szCs w:val="20"/>
              </w:rPr>
            </w:pPr>
            <w:r w:rsidRPr="005F6732">
              <w:rPr>
                <w:rFonts w:ascii="Arial" w:hAnsi="Arial" w:cs="Arial"/>
                <w:sz w:val="20"/>
                <w:szCs w:val="20"/>
              </w:rPr>
              <w:t>Adjustment of Status for Principal Applicant</w:t>
            </w:r>
            <w:r w:rsidR="00F04A10" w:rsidRPr="005F6732">
              <w:rPr>
                <w:rFonts w:ascii="Arial" w:hAnsi="Arial" w:cs="Arial"/>
                <w:sz w:val="20"/>
                <w:szCs w:val="20"/>
              </w:rPr>
              <w:t>, including EAD and Advance Parole</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5C4216">
            <w:pPr>
              <w:spacing w:after="0" w:line="240" w:lineRule="auto"/>
              <w:jc w:val="center"/>
              <w:rPr>
                <w:rFonts w:ascii="Arial" w:hAnsi="Arial" w:cs="Arial"/>
                <w:sz w:val="20"/>
                <w:szCs w:val="20"/>
              </w:rPr>
            </w:pPr>
            <w:r w:rsidRPr="005F6732">
              <w:rPr>
                <w:rFonts w:ascii="Arial" w:hAnsi="Arial" w:cs="Arial"/>
                <w:sz w:val="20"/>
                <w:szCs w:val="20"/>
              </w:rPr>
              <w:t>$</w:t>
            </w:r>
            <w:r w:rsidR="005C4216">
              <w:rPr>
                <w:rFonts w:ascii="Arial" w:hAnsi="Arial" w:cs="Arial"/>
                <w:sz w:val="20"/>
                <w:szCs w:val="20"/>
              </w:rPr>
              <w:t>5,000</w:t>
            </w:r>
          </w:p>
        </w:tc>
      </w:tr>
      <w:tr w:rsidR="00F04A10" w:rsidRPr="005F6732" w:rsidTr="00F04A10">
        <w:tc>
          <w:tcPr>
            <w:tcW w:w="622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Adjustment of Status for Dependents, including EAD and Advance Parole</w:t>
            </w:r>
          </w:p>
        </w:tc>
        <w:tc>
          <w:tcPr>
            <w:tcW w:w="2628" w:type="dxa"/>
            <w:tcBorders>
              <w:top w:val="single" w:sz="4" w:space="0" w:color="auto"/>
              <w:left w:val="single" w:sz="4" w:space="0" w:color="auto"/>
              <w:bottom w:val="single" w:sz="4" w:space="0" w:color="auto"/>
              <w:right w:val="single" w:sz="4" w:space="0" w:color="auto"/>
            </w:tcBorders>
            <w:hideMark/>
          </w:tcPr>
          <w:p w:rsidR="00F04A10" w:rsidRPr="005F6732" w:rsidRDefault="000478AA" w:rsidP="005C4216">
            <w:pPr>
              <w:spacing w:after="0" w:line="240" w:lineRule="auto"/>
              <w:jc w:val="center"/>
              <w:rPr>
                <w:rFonts w:ascii="Arial" w:hAnsi="Arial" w:cs="Arial"/>
                <w:sz w:val="20"/>
                <w:szCs w:val="20"/>
              </w:rPr>
            </w:pPr>
            <w:r>
              <w:rPr>
                <w:rFonts w:ascii="Arial" w:hAnsi="Arial" w:cs="Arial"/>
                <w:sz w:val="20"/>
                <w:szCs w:val="20"/>
              </w:rPr>
              <w:t>$2</w:t>
            </w:r>
            <w:r w:rsidR="00F04A10" w:rsidRPr="005F6732">
              <w:rPr>
                <w:rFonts w:ascii="Arial" w:hAnsi="Arial" w:cs="Arial"/>
                <w:sz w:val="20"/>
                <w:szCs w:val="20"/>
              </w:rPr>
              <w:t>,</w:t>
            </w:r>
            <w:r>
              <w:rPr>
                <w:rFonts w:ascii="Arial" w:hAnsi="Arial" w:cs="Arial"/>
                <w:sz w:val="20"/>
                <w:szCs w:val="20"/>
              </w:rPr>
              <w:t>0</w:t>
            </w:r>
            <w:r w:rsidR="005C4216">
              <w:rPr>
                <w:rFonts w:ascii="Arial" w:hAnsi="Arial" w:cs="Arial"/>
                <w:sz w:val="20"/>
                <w:szCs w:val="20"/>
              </w:rPr>
              <w:t>00</w:t>
            </w:r>
          </w:p>
        </w:tc>
      </w:tr>
    </w:tbl>
    <w:p w:rsidR="005F6732" w:rsidRDefault="005F6732" w:rsidP="00F04A10">
      <w:pPr>
        <w:spacing w:after="0" w:line="240" w:lineRule="auto"/>
        <w:jc w:val="center"/>
        <w:rPr>
          <w:rFonts w:ascii="Arial" w:hAnsi="Arial" w:cs="Arial"/>
          <w:b/>
          <w:i/>
        </w:rPr>
      </w:pPr>
    </w:p>
    <w:p w:rsidR="005C4216" w:rsidRDefault="005C4216" w:rsidP="00F04A10">
      <w:pPr>
        <w:spacing w:after="0" w:line="240" w:lineRule="auto"/>
        <w:jc w:val="center"/>
        <w:rPr>
          <w:rFonts w:ascii="Arial" w:hAnsi="Arial" w:cs="Arial"/>
          <w:b/>
          <w:i/>
        </w:rPr>
      </w:pPr>
    </w:p>
    <w:p w:rsidR="00F267EA" w:rsidRDefault="00F267EA">
      <w:pPr>
        <w:spacing w:after="0" w:line="240" w:lineRule="auto"/>
        <w:rPr>
          <w:rFonts w:ascii="Arial" w:hAnsi="Arial" w:cs="Arial"/>
          <w:b/>
          <w:i/>
        </w:rPr>
      </w:pPr>
      <w:r>
        <w:rPr>
          <w:rFonts w:ascii="Arial" w:hAnsi="Arial" w:cs="Arial"/>
          <w:b/>
          <w:i/>
        </w:rPr>
        <w:br w:type="page"/>
      </w:r>
    </w:p>
    <w:p w:rsidR="00F04A10" w:rsidRPr="005F6732" w:rsidRDefault="00F04A10" w:rsidP="00F04A10">
      <w:pPr>
        <w:spacing w:after="0" w:line="240" w:lineRule="auto"/>
        <w:jc w:val="center"/>
        <w:rPr>
          <w:rFonts w:ascii="Arial" w:hAnsi="Arial" w:cs="Arial"/>
          <w:b/>
          <w:i/>
        </w:rPr>
      </w:pPr>
      <w:r w:rsidRPr="005F6732">
        <w:rPr>
          <w:rFonts w:ascii="Arial" w:hAnsi="Arial" w:cs="Arial"/>
          <w:b/>
          <w:i/>
        </w:rPr>
        <w:lastRenderedPageBreak/>
        <w:t>Advertising Fees for Labor Certification</w:t>
      </w:r>
    </w:p>
    <w:p w:rsidR="00F04A10" w:rsidRPr="005F6732" w:rsidRDefault="00F04A10" w:rsidP="00F04A10">
      <w:pPr>
        <w:spacing w:after="0" w:line="240" w:lineRule="auto"/>
        <w:rPr>
          <w:rFonts w:ascii="Arial" w:hAnsi="Arial" w:cs="Arial"/>
        </w:rPr>
      </w:pPr>
    </w:p>
    <w:p w:rsidR="00F04A10" w:rsidRPr="005F6732" w:rsidRDefault="00F04A10" w:rsidP="00F04A10">
      <w:pPr>
        <w:spacing w:after="0" w:line="240" w:lineRule="auto"/>
        <w:rPr>
          <w:rFonts w:ascii="Arial" w:hAnsi="Arial" w:cs="Arial"/>
          <w:i/>
        </w:rPr>
      </w:pPr>
      <w:r w:rsidRPr="005F6732">
        <w:rPr>
          <w:rFonts w:ascii="Arial" w:hAnsi="Arial" w:cs="Arial"/>
          <w:i/>
        </w:rPr>
        <w:t>The fees shown below are approximate.</w:t>
      </w:r>
    </w:p>
    <w:p w:rsidR="00F04A10" w:rsidRPr="005F6732" w:rsidRDefault="00F04A10" w:rsidP="00F04A1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690"/>
        <w:gridCol w:w="2448"/>
      </w:tblGrid>
      <w:tr w:rsidR="00F04A10" w:rsidRPr="005F6732" w:rsidTr="004030D9">
        <w:tc>
          <w:tcPr>
            <w:tcW w:w="271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jc w:val="center"/>
              <w:rPr>
                <w:rFonts w:ascii="Arial" w:hAnsi="Arial" w:cs="Arial"/>
                <w:b/>
                <w:sz w:val="20"/>
                <w:szCs w:val="20"/>
              </w:rPr>
            </w:pPr>
            <w:r w:rsidRPr="005F6732">
              <w:rPr>
                <w:rFonts w:ascii="Arial" w:hAnsi="Arial" w:cs="Arial"/>
                <w:b/>
                <w:sz w:val="20"/>
                <w:szCs w:val="20"/>
              </w:rPr>
              <w:t>Labor Certification Type</w:t>
            </w:r>
          </w:p>
        </w:tc>
        <w:tc>
          <w:tcPr>
            <w:tcW w:w="3690"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jc w:val="center"/>
              <w:rPr>
                <w:rFonts w:ascii="Arial" w:hAnsi="Arial" w:cs="Arial"/>
                <w:b/>
                <w:sz w:val="20"/>
                <w:szCs w:val="20"/>
              </w:rPr>
            </w:pPr>
            <w:r w:rsidRPr="005F6732">
              <w:rPr>
                <w:rFonts w:ascii="Arial" w:hAnsi="Arial" w:cs="Arial"/>
                <w:b/>
                <w:sz w:val="20"/>
                <w:szCs w:val="20"/>
              </w:rPr>
              <w:t>Description of Required Advertising</w:t>
            </w:r>
          </w:p>
        </w:tc>
        <w:tc>
          <w:tcPr>
            <w:tcW w:w="244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jc w:val="center"/>
              <w:rPr>
                <w:rFonts w:ascii="Arial" w:hAnsi="Arial" w:cs="Arial"/>
                <w:b/>
                <w:sz w:val="20"/>
                <w:szCs w:val="20"/>
              </w:rPr>
            </w:pPr>
            <w:r w:rsidRPr="005F6732">
              <w:rPr>
                <w:rFonts w:ascii="Arial" w:hAnsi="Arial" w:cs="Arial"/>
                <w:b/>
                <w:sz w:val="20"/>
                <w:szCs w:val="20"/>
              </w:rPr>
              <w:t>Cost</w:t>
            </w:r>
          </w:p>
        </w:tc>
      </w:tr>
      <w:tr w:rsidR="00252F35" w:rsidRPr="005F6732" w:rsidTr="004030D9">
        <w:trPr>
          <w:trHeight w:val="470"/>
        </w:trPr>
        <w:tc>
          <w:tcPr>
            <w:tcW w:w="2718" w:type="dxa"/>
            <w:tcBorders>
              <w:top w:val="single" w:sz="4" w:space="0" w:color="auto"/>
              <w:left w:val="single" w:sz="4" w:space="0" w:color="auto"/>
              <w:bottom w:val="single" w:sz="4" w:space="0" w:color="auto"/>
              <w:right w:val="single" w:sz="4" w:space="0" w:color="auto"/>
            </w:tcBorders>
            <w:vAlign w:val="center"/>
            <w:hideMark/>
          </w:tcPr>
          <w:p w:rsidR="00252F35" w:rsidRPr="005F6732" w:rsidRDefault="00252F35" w:rsidP="00F04A10">
            <w:pPr>
              <w:spacing w:after="0" w:line="240" w:lineRule="auto"/>
              <w:rPr>
                <w:rFonts w:ascii="Arial" w:hAnsi="Arial" w:cs="Arial"/>
                <w:i/>
                <w:sz w:val="20"/>
                <w:szCs w:val="20"/>
              </w:rPr>
            </w:pPr>
            <w:r w:rsidRPr="005F6732">
              <w:rPr>
                <w:rFonts w:ascii="Arial" w:hAnsi="Arial" w:cs="Arial"/>
                <w:i/>
                <w:sz w:val="20"/>
                <w:szCs w:val="20"/>
              </w:rPr>
              <w:t>Basic Labor Certification</w:t>
            </w:r>
          </w:p>
        </w:tc>
        <w:tc>
          <w:tcPr>
            <w:tcW w:w="3690" w:type="dxa"/>
            <w:tcBorders>
              <w:top w:val="single" w:sz="4" w:space="0" w:color="auto"/>
              <w:left w:val="single" w:sz="4" w:space="0" w:color="auto"/>
              <w:right w:val="single" w:sz="4" w:space="0" w:color="auto"/>
            </w:tcBorders>
            <w:hideMark/>
          </w:tcPr>
          <w:p w:rsidR="00252F35" w:rsidRPr="005F6732" w:rsidRDefault="00252F35" w:rsidP="00F04A10">
            <w:pPr>
              <w:spacing w:after="0" w:line="240" w:lineRule="auto"/>
              <w:rPr>
                <w:rFonts w:ascii="Arial" w:hAnsi="Arial" w:cs="Arial"/>
                <w:sz w:val="20"/>
                <w:szCs w:val="20"/>
              </w:rPr>
            </w:pPr>
            <w:r w:rsidRPr="005F6732">
              <w:rPr>
                <w:rFonts w:ascii="Arial" w:hAnsi="Arial" w:cs="Arial"/>
                <w:sz w:val="20"/>
                <w:szCs w:val="20"/>
              </w:rPr>
              <w:t xml:space="preserve">Two print ads in Sunday </w:t>
            </w:r>
            <w:r w:rsidRPr="005F6732">
              <w:rPr>
                <w:rFonts w:ascii="Arial" w:hAnsi="Arial" w:cs="Arial"/>
                <w:i/>
                <w:sz w:val="20"/>
                <w:szCs w:val="20"/>
              </w:rPr>
              <w:t>Denver Post</w:t>
            </w:r>
          </w:p>
        </w:tc>
        <w:tc>
          <w:tcPr>
            <w:tcW w:w="2448" w:type="dxa"/>
            <w:tcBorders>
              <w:top w:val="single" w:sz="4" w:space="0" w:color="auto"/>
              <w:left w:val="single" w:sz="4" w:space="0" w:color="auto"/>
              <w:right w:val="single" w:sz="4" w:space="0" w:color="auto"/>
            </w:tcBorders>
            <w:hideMark/>
          </w:tcPr>
          <w:p w:rsidR="00252F35" w:rsidRPr="005F6732" w:rsidRDefault="00E43ECB" w:rsidP="00F04A10">
            <w:pPr>
              <w:spacing w:after="0" w:line="240" w:lineRule="auto"/>
              <w:rPr>
                <w:rFonts w:ascii="Arial" w:hAnsi="Arial" w:cs="Arial"/>
                <w:sz w:val="20"/>
                <w:szCs w:val="20"/>
              </w:rPr>
            </w:pPr>
            <w:r>
              <w:rPr>
                <w:rFonts w:ascii="Arial" w:hAnsi="Arial" w:cs="Arial"/>
                <w:sz w:val="20"/>
                <w:szCs w:val="20"/>
              </w:rPr>
              <w:t>$2,5</w:t>
            </w:r>
            <w:r w:rsidR="00252F35" w:rsidRPr="005F6732">
              <w:rPr>
                <w:rFonts w:ascii="Arial" w:hAnsi="Arial" w:cs="Arial"/>
                <w:sz w:val="20"/>
                <w:szCs w:val="20"/>
              </w:rPr>
              <w:t>00</w:t>
            </w:r>
            <w:r w:rsidR="005C4216">
              <w:rPr>
                <w:rFonts w:ascii="Arial" w:hAnsi="Arial" w:cs="Arial"/>
                <w:sz w:val="20"/>
                <w:szCs w:val="20"/>
              </w:rPr>
              <w:t xml:space="preserve"> or more</w:t>
            </w:r>
          </w:p>
        </w:tc>
      </w:tr>
      <w:tr w:rsidR="00E43ECB" w:rsidRPr="005F6732" w:rsidTr="004030D9">
        <w:trPr>
          <w:trHeight w:val="690"/>
        </w:trPr>
        <w:tc>
          <w:tcPr>
            <w:tcW w:w="2718" w:type="dxa"/>
            <w:tcBorders>
              <w:top w:val="single" w:sz="4" w:space="0" w:color="auto"/>
              <w:left w:val="single" w:sz="4" w:space="0" w:color="auto"/>
              <w:right w:val="single" w:sz="4" w:space="0" w:color="auto"/>
            </w:tcBorders>
            <w:hideMark/>
          </w:tcPr>
          <w:p w:rsidR="00E43ECB" w:rsidRPr="005F6732" w:rsidRDefault="00E43ECB" w:rsidP="00F04A10">
            <w:pPr>
              <w:spacing w:after="0" w:line="240" w:lineRule="auto"/>
              <w:rPr>
                <w:rFonts w:ascii="Arial" w:hAnsi="Arial" w:cs="Arial"/>
                <w:i/>
                <w:sz w:val="20"/>
                <w:szCs w:val="20"/>
              </w:rPr>
            </w:pPr>
            <w:r w:rsidRPr="005F6732">
              <w:rPr>
                <w:rFonts w:ascii="Arial" w:hAnsi="Arial" w:cs="Arial"/>
                <w:i/>
                <w:sz w:val="20"/>
                <w:szCs w:val="20"/>
              </w:rPr>
              <w:t>Special Handling Labor Certification for University Teachers</w:t>
            </w:r>
          </w:p>
        </w:tc>
        <w:tc>
          <w:tcPr>
            <w:tcW w:w="3690" w:type="dxa"/>
            <w:tcBorders>
              <w:top w:val="single" w:sz="4" w:space="0" w:color="auto"/>
              <w:left w:val="single" w:sz="4" w:space="0" w:color="auto"/>
              <w:right w:val="single" w:sz="4" w:space="0" w:color="auto"/>
            </w:tcBorders>
          </w:tcPr>
          <w:p w:rsidR="00E43ECB" w:rsidRPr="004030D9" w:rsidRDefault="004030D9" w:rsidP="004030D9">
            <w:pPr>
              <w:spacing w:line="240" w:lineRule="auto"/>
              <w:ind w:right="313"/>
              <w:rPr>
                <w:rFonts w:cs="Calibri"/>
              </w:rPr>
            </w:pPr>
            <w:r>
              <w:rPr>
                <w:rFonts w:cs="Calibri"/>
              </w:rPr>
              <w:t>A</w:t>
            </w:r>
            <w:r w:rsidRPr="001C2F6A">
              <w:rPr>
                <w:rFonts w:cs="Calibri"/>
              </w:rPr>
              <w:t>t</w:t>
            </w:r>
            <w:r w:rsidRPr="001C2F6A">
              <w:rPr>
                <w:rFonts w:cs="Calibri"/>
                <w:spacing w:val="-1"/>
              </w:rPr>
              <w:t xml:space="preserve"> </w:t>
            </w:r>
            <w:r w:rsidRPr="001C2F6A">
              <w:rPr>
                <w:rFonts w:cs="Calibri"/>
              </w:rPr>
              <w:t>l</w:t>
            </w:r>
            <w:r w:rsidRPr="001C2F6A">
              <w:rPr>
                <w:rFonts w:cs="Calibri"/>
                <w:spacing w:val="-1"/>
              </w:rPr>
              <w:t>e</w:t>
            </w:r>
            <w:r w:rsidRPr="001C2F6A">
              <w:rPr>
                <w:rFonts w:cs="Calibri"/>
              </w:rPr>
              <w:t>ast</w:t>
            </w:r>
            <w:r w:rsidRPr="001C2F6A">
              <w:rPr>
                <w:rFonts w:cs="Calibri"/>
                <w:spacing w:val="-4"/>
              </w:rPr>
              <w:t xml:space="preserve"> </w:t>
            </w:r>
            <w:r w:rsidRPr="001C2F6A">
              <w:rPr>
                <w:rFonts w:cs="Calibri"/>
                <w:spacing w:val="1"/>
              </w:rPr>
              <w:t>on</w:t>
            </w:r>
            <w:r w:rsidRPr="001C2F6A">
              <w:rPr>
                <w:rFonts w:cs="Calibri"/>
              </w:rPr>
              <w:t>e</w:t>
            </w:r>
            <w:r w:rsidRPr="001C2F6A">
              <w:rPr>
                <w:rFonts w:cs="Calibri"/>
                <w:spacing w:val="-4"/>
              </w:rPr>
              <w:t xml:space="preserve"> on-line </w:t>
            </w:r>
            <w:r>
              <w:rPr>
                <w:rFonts w:cs="Calibri"/>
                <w:spacing w:val="-4"/>
              </w:rPr>
              <w:t xml:space="preserve">ad </w:t>
            </w:r>
            <w:r w:rsidRPr="001C2F6A">
              <w:rPr>
                <w:rFonts w:cs="Calibri"/>
              </w:rPr>
              <w:t>in</w:t>
            </w:r>
            <w:r w:rsidRPr="001C2F6A">
              <w:rPr>
                <w:rFonts w:cs="Calibri"/>
                <w:spacing w:val="-1"/>
              </w:rPr>
              <w:t xml:space="preserve"> </w:t>
            </w:r>
            <w:r w:rsidRPr="001C2F6A">
              <w:rPr>
                <w:rFonts w:cs="Calibri"/>
                <w:spacing w:val="1"/>
              </w:rPr>
              <w:t>a</w:t>
            </w:r>
            <w:r w:rsidRPr="001C2F6A">
              <w:rPr>
                <w:rFonts w:cs="Calibri"/>
              </w:rPr>
              <w:t>n</w:t>
            </w:r>
            <w:r w:rsidRPr="001C2F6A">
              <w:rPr>
                <w:rFonts w:cs="Calibri"/>
                <w:spacing w:val="-5"/>
              </w:rPr>
              <w:t xml:space="preserve"> </w:t>
            </w:r>
            <w:r w:rsidRPr="001C2F6A">
              <w:rPr>
                <w:rFonts w:cs="Calibri"/>
              </w:rPr>
              <w:t>a</w:t>
            </w:r>
            <w:r w:rsidRPr="001C2F6A">
              <w:rPr>
                <w:rFonts w:cs="Calibri"/>
                <w:spacing w:val="1"/>
              </w:rPr>
              <w:t>pp</w:t>
            </w:r>
            <w:r w:rsidRPr="001C2F6A">
              <w:rPr>
                <w:rFonts w:cs="Calibri"/>
              </w:rPr>
              <w:t>r</w:t>
            </w:r>
            <w:r w:rsidRPr="001C2F6A">
              <w:rPr>
                <w:rFonts w:cs="Calibri"/>
                <w:spacing w:val="1"/>
              </w:rPr>
              <w:t>op</w:t>
            </w:r>
            <w:r w:rsidRPr="001C2F6A">
              <w:rPr>
                <w:rFonts w:cs="Calibri"/>
              </w:rPr>
              <w:t>ria</w:t>
            </w:r>
            <w:r w:rsidRPr="001C2F6A">
              <w:rPr>
                <w:rFonts w:cs="Calibri"/>
                <w:spacing w:val="1"/>
              </w:rPr>
              <w:t>t</w:t>
            </w:r>
            <w:r w:rsidRPr="001C2F6A">
              <w:rPr>
                <w:rFonts w:cs="Calibri"/>
              </w:rPr>
              <w:t>e</w:t>
            </w:r>
            <w:r w:rsidRPr="001C2F6A">
              <w:rPr>
                <w:rFonts w:cs="Calibri"/>
                <w:spacing w:val="-11"/>
              </w:rPr>
              <w:t xml:space="preserve"> </w:t>
            </w:r>
            <w:r w:rsidRPr="001C2F6A">
              <w:rPr>
                <w:rFonts w:cs="Calibri"/>
                <w:spacing w:val="1"/>
              </w:rPr>
              <w:t>p</w:t>
            </w:r>
            <w:r w:rsidRPr="001C2F6A">
              <w:rPr>
                <w:rFonts w:cs="Calibri"/>
              </w:rPr>
              <w:t>r</w:t>
            </w:r>
            <w:r w:rsidRPr="001C2F6A">
              <w:rPr>
                <w:rFonts w:cs="Calibri"/>
                <w:spacing w:val="1"/>
              </w:rPr>
              <w:t>o</w:t>
            </w:r>
            <w:r w:rsidRPr="001C2F6A">
              <w:rPr>
                <w:rFonts w:cs="Calibri"/>
                <w:spacing w:val="-1"/>
              </w:rPr>
              <w:t>fes</w:t>
            </w:r>
            <w:r w:rsidRPr="001C2F6A">
              <w:rPr>
                <w:rFonts w:cs="Calibri"/>
                <w:spacing w:val="1"/>
              </w:rPr>
              <w:t>s</w:t>
            </w:r>
            <w:r w:rsidRPr="001C2F6A">
              <w:rPr>
                <w:rFonts w:cs="Calibri"/>
              </w:rPr>
              <w:t>io</w:t>
            </w:r>
            <w:r w:rsidRPr="001C2F6A">
              <w:rPr>
                <w:rFonts w:cs="Calibri"/>
                <w:spacing w:val="1"/>
              </w:rPr>
              <w:t>n</w:t>
            </w:r>
            <w:r w:rsidRPr="001C2F6A">
              <w:rPr>
                <w:rFonts w:cs="Calibri"/>
              </w:rPr>
              <w:t>al</w:t>
            </w:r>
            <w:r w:rsidRPr="001C2F6A">
              <w:rPr>
                <w:rFonts w:cs="Calibri"/>
                <w:spacing w:val="-9"/>
              </w:rPr>
              <w:t xml:space="preserve"> </w:t>
            </w:r>
            <w:r w:rsidRPr="001C2F6A">
              <w:rPr>
                <w:rFonts w:cs="Calibri"/>
              </w:rPr>
              <w:t>j</w:t>
            </w:r>
            <w:r w:rsidRPr="001C2F6A">
              <w:rPr>
                <w:rFonts w:cs="Calibri"/>
                <w:spacing w:val="1"/>
              </w:rPr>
              <w:t>ou</w:t>
            </w:r>
            <w:r w:rsidRPr="001C2F6A">
              <w:rPr>
                <w:rFonts w:cs="Calibri"/>
              </w:rPr>
              <w:t>r</w:t>
            </w:r>
            <w:r w:rsidRPr="001C2F6A">
              <w:rPr>
                <w:rFonts w:cs="Calibri"/>
                <w:spacing w:val="1"/>
              </w:rPr>
              <w:t>n</w:t>
            </w:r>
            <w:r w:rsidRPr="001C2F6A">
              <w:rPr>
                <w:rFonts w:cs="Calibri"/>
              </w:rPr>
              <w:t>al/</w:t>
            </w:r>
            <w:r>
              <w:rPr>
                <w:rFonts w:cs="Calibri"/>
              </w:rPr>
              <w:t xml:space="preserve"> </w:t>
            </w:r>
            <w:r w:rsidRPr="001C2F6A">
              <w:rPr>
                <w:rFonts w:cs="Calibri"/>
                <w:spacing w:val="1"/>
              </w:rPr>
              <w:t>pub</w:t>
            </w:r>
            <w:r w:rsidRPr="001C2F6A">
              <w:rPr>
                <w:rFonts w:cs="Calibri"/>
              </w:rPr>
              <w:t>lica</w:t>
            </w:r>
            <w:r w:rsidRPr="001C2F6A">
              <w:rPr>
                <w:rFonts w:cs="Calibri"/>
                <w:spacing w:val="1"/>
              </w:rPr>
              <w:t>t</w:t>
            </w:r>
            <w:r w:rsidRPr="001C2F6A">
              <w:rPr>
                <w:rFonts w:cs="Calibri"/>
              </w:rPr>
              <w:t>ion</w:t>
            </w:r>
            <w:r w:rsidRPr="001C2F6A">
              <w:rPr>
                <w:rFonts w:cs="Calibri"/>
                <w:spacing w:val="-15"/>
              </w:rPr>
              <w:t xml:space="preserve"> </w:t>
            </w:r>
            <w:r w:rsidRPr="001C2F6A">
              <w:rPr>
                <w:rFonts w:cs="Calibri"/>
              </w:rPr>
              <w:t>with</w:t>
            </w:r>
            <w:r w:rsidRPr="001C2F6A">
              <w:rPr>
                <w:rFonts w:cs="Calibri"/>
                <w:spacing w:val="-3"/>
              </w:rPr>
              <w:t xml:space="preserve"> </w:t>
            </w:r>
            <w:r w:rsidRPr="001C2F6A">
              <w:rPr>
                <w:rFonts w:cs="Calibri"/>
                <w:spacing w:val="1"/>
              </w:rPr>
              <w:t>n</w:t>
            </w:r>
            <w:r w:rsidRPr="001C2F6A">
              <w:rPr>
                <w:rFonts w:cs="Calibri"/>
              </w:rPr>
              <w:t>a</w:t>
            </w:r>
            <w:r w:rsidRPr="001C2F6A">
              <w:rPr>
                <w:rFonts w:cs="Calibri"/>
                <w:spacing w:val="1"/>
              </w:rPr>
              <w:t>t</w:t>
            </w:r>
            <w:r w:rsidRPr="001C2F6A">
              <w:rPr>
                <w:rFonts w:cs="Calibri"/>
              </w:rPr>
              <w:t>io</w:t>
            </w:r>
            <w:r w:rsidRPr="001C2F6A">
              <w:rPr>
                <w:rFonts w:cs="Calibri"/>
                <w:spacing w:val="1"/>
              </w:rPr>
              <w:t>n</w:t>
            </w:r>
            <w:r w:rsidRPr="001C2F6A">
              <w:rPr>
                <w:rFonts w:cs="Calibri"/>
              </w:rPr>
              <w:t>al</w:t>
            </w:r>
            <w:r w:rsidRPr="001C2F6A">
              <w:rPr>
                <w:rFonts w:cs="Calibri"/>
                <w:spacing w:val="-8"/>
              </w:rPr>
              <w:t xml:space="preserve"> </w:t>
            </w:r>
            <w:r w:rsidRPr="001C2F6A">
              <w:rPr>
                <w:rFonts w:cs="Calibri"/>
              </w:rPr>
              <w:t>or i</w:t>
            </w:r>
            <w:r w:rsidRPr="001C2F6A">
              <w:rPr>
                <w:rFonts w:cs="Calibri"/>
                <w:spacing w:val="1"/>
              </w:rPr>
              <w:t>n</w:t>
            </w:r>
            <w:r w:rsidRPr="001C2F6A">
              <w:rPr>
                <w:rFonts w:cs="Calibri"/>
              </w:rPr>
              <w:t>ter</w:t>
            </w:r>
            <w:r w:rsidRPr="001C2F6A">
              <w:rPr>
                <w:rFonts w:cs="Calibri"/>
                <w:spacing w:val="1"/>
              </w:rPr>
              <w:t>n</w:t>
            </w:r>
            <w:r w:rsidRPr="001C2F6A">
              <w:rPr>
                <w:rFonts w:cs="Calibri"/>
              </w:rPr>
              <w:t>a</w:t>
            </w:r>
            <w:r w:rsidRPr="001C2F6A">
              <w:rPr>
                <w:rFonts w:cs="Calibri"/>
                <w:spacing w:val="1"/>
              </w:rPr>
              <w:t>t</w:t>
            </w:r>
            <w:r w:rsidRPr="001C2F6A">
              <w:rPr>
                <w:rFonts w:cs="Calibri"/>
              </w:rPr>
              <w:t>io</w:t>
            </w:r>
            <w:r w:rsidRPr="001C2F6A">
              <w:rPr>
                <w:rFonts w:cs="Calibri"/>
                <w:spacing w:val="1"/>
              </w:rPr>
              <w:t>n</w:t>
            </w:r>
            <w:r w:rsidRPr="001C2F6A">
              <w:rPr>
                <w:rFonts w:cs="Calibri"/>
              </w:rPr>
              <w:t>al</w:t>
            </w:r>
            <w:r w:rsidRPr="001C2F6A">
              <w:rPr>
                <w:rFonts w:cs="Calibri"/>
                <w:spacing w:val="-10"/>
              </w:rPr>
              <w:t xml:space="preserve"> </w:t>
            </w:r>
            <w:r w:rsidRPr="001C2F6A">
              <w:rPr>
                <w:rFonts w:cs="Calibri"/>
              </w:rPr>
              <w:t>circ</w:t>
            </w:r>
            <w:r w:rsidRPr="001C2F6A">
              <w:rPr>
                <w:rFonts w:cs="Calibri"/>
                <w:spacing w:val="1"/>
              </w:rPr>
              <w:t>u</w:t>
            </w:r>
            <w:r w:rsidRPr="001C2F6A">
              <w:rPr>
                <w:rFonts w:cs="Calibri"/>
              </w:rPr>
              <w:t>la</w:t>
            </w:r>
            <w:r w:rsidRPr="001C2F6A">
              <w:rPr>
                <w:rFonts w:cs="Calibri"/>
                <w:spacing w:val="1"/>
              </w:rPr>
              <w:t>t</w:t>
            </w:r>
            <w:r w:rsidRPr="001C2F6A">
              <w:rPr>
                <w:rFonts w:cs="Calibri"/>
              </w:rPr>
              <w:t>io</w:t>
            </w:r>
            <w:r w:rsidRPr="001C2F6A">
              <w:rPr>
                <w:rFonts w:cs="Calibri"/>
                <w:spacing w:val="1"/>
              </w:rPr>
              <w:t>n</w:t>
            </w:r>
            <w:r w:rsidRPr="001C2F6A">
              <w:rPr>
                <w:rFonts w:cs="Calibri"/>
              </w:rPr>
              <w:t>.</w:t>
            </w:r>
            <w:r w:rsidRPr="001C2F6A">
              <w:rPr>
                <w:rFonts w:cs="Calibri"/>
                <w:spacing w:val="-9"/>
              </w:rPr>
              <w:t xml:space="preserve">  </w:t>
            </w:r>
            <w:r w:rsidRPr="001C2F6A">
              <w:t xml:space="preserve">One of the acceptable online postings is </w:t>
            </w:r>
            <w:hyperlink r:id="rId8" w:history="1">
              <w:r w:rsidRPr="00034D0A">
                <w:rPr>
                  <w:rStyle w:val="Hyperlink"/>
                </w:rPr>
                <w:t>InsideHigherEd.com</w:t>
              </w:r>
            </w:hyperlink>
            <w:r>
              <w:t>, which is included when job is posted at CU Careers.</w:t>
            </w:r>
          </w:p>
        </w:tc>
        <w:tc>
          <w:tcPr>
            <w:tcW w:w="2448" w:type="dxa"/>
            <w:tcBorders>
              <w:top w:val="single" w:sz="4" w:space="0" w:color="auto"/>
              <w:left w:val="single" w:sz="4" w:space="0" w:color="auto"/>
              <w:right w:val="single" w:sz="4" w:space="0" w:color="auto"/>
            </w:tcBorders>
          </w:tcPr>
          <w:p w:rsidR="00E43ECB" w:rsidRPr="005F6732" w:rsidRDefault="005C4216" w:rsidP="0099503A">
            <w:pPr>
              <w:spacing w:after="0" w:line="240" w:lineRule="auto"/>
              <w:rPr>
                <w:rFonts w:ascii="Arial" w:hAnsi="Arial" w:cs="Arial"/>
                <w:sz w:val="20"/>
                <w:szCs w:val="20"/>
              </w:rPr>
            </w:pPr>
            <w:r>
              <w:rPr>
                <w:rFonts w:ascii="Arial" w:hAnsi="Arial" w:cs="Arial"/>
                <w:sz w:val="20"/>
                <w:szCs w:val="20"/>
              </w:rPr>
              <w:t>No additional cost</w:t>
            </w:r>
          </w:p>
        </w:tc>
      </w:tr>
    </w:tbl>
    <w:p w:rsidR="00F04A10" w:rsidRPr="005F6732" w:rsidRDefault="00F04A10" w:rsidP="00F04A10">
      <w:pPr>
        <w:pStyle w:val="Heading3"/>
        <w:spacing w:after="0"/>
        <w:jc w:val="center"/>
        <w:rPr>
          <w:rFonts w:ascii="Arial" w:hAnsi="Arial"/>
          <w:b/>
          <w:sz w:val="22"/>
          <w:szCs w:val="22"/>
        </w:rPr>
      </w:pPr>
      <w:bookmarkStart w:id="1" w:name="_Toc262568112"/>
      <w:r w:rsidRPr="005F6732">
        <w:rPr>
          <w:rFonts w:ascii="Arial" w:hAnsi="Arial"/>
          <w:b/>
          <w:sz w:val="22"/>
          <w:szCs w:val="22"/>
        </w:rPr>
        <w:t>USCIS Filing Fees</w:t>
      </w:r>
      <w:bookmarkEnd w:id="1"/>
      <w:r w:rsidR="00385248">
        <w:rPr>
          <w:rFonts w:ascii="Arial" w:hAnsi="Arial"/>
          <w:b/>
          <w:sz w:val="22"/>
          <w:szCs w:val="22"/>
        </w:rPr>
        <w:t xml:space="preserve"> as of </w:t>
      </w:r>
      <w:r w:rsidR="00F267EA">
        <w:rPr>
          <w:rFonts w:ascii="Arial" w:hAnsi="Arial"/>
          <w:b/>
          <w:sz w:val="22"/>
          <w:szCs w:val="22"/>
        </w:rPr>
        <w:t>December 10, 2019</w:t>
      </w:r>
    </w:p>
    <w:p w:rsidR="00F04A10" w:rsidRPr="005F6732" w:rsidRDefault="00F04A10" w:rsidP="00F04A10">
      <w:pPr>
        <w:spacing w:after="0" w:line="240" w:lineRule="auto"/>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6"/>
        <w:gridCol w:w="3192"/>
      </w:tblGrid>
      <w:tr w:rsidR="00F04A10" w:rsidRPr="005F6732" w:rsidTr="00F04A10">
        <w:tc>
          <w:tcPr>
            <w:tcW w:w="190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b/>
                <w:sz w:val="20"/>
                <w:szCs w:val="20"/>
              </w:rPr>
            </w:pPr>
            <w:r w:rsidRPr="005F6732">
              <w:rPr>
                <w:rFonts w:ascii="Arial" w:hAnsi="Arial" w:cs="Arial"/>
                <w:b/>
                <w:sz w:val="20"/>
                <w:szCs w:val="20"/>
              </w:rPr>
              <w:t>Form Number</w:t>
            </w:r>
          </w:p>
        </w:tc>
        <w:tc>
          <w:tcPr>
            <w:tcW w:w="4476"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b/>
                <w:sz w:val="20"/>
                <w:szCs w:val="20"/>
              </w:rPr>
            </w:pPr>
            <w:r w:rsidRPr="005F6732">
              <w:rPr>
                <w:rFonts w:ascii="Arial" w:hAnsi="Arial" w:cs="Arial"/>
                <w:b/>
                <w:sz w:val="20"/>
                <w:szCs w:val="20"/>
              </w:rPr>
              <w:t>Form Description</w:t>
            </w:r>
          </w:p>
        </w:tc>
        <w:tc>
          <w:tcPr>
            <w:tcW w:w="3192"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b/>
                <w:sz w:val="20"/>
                <w:szCs w:val="20"/>
              </w:rPr>
            </w:pPr>
            <w:r w:rsidRPr="005F6732">
              <w:rPr>
                <w:rFonts w:ascii="Arial" w:hAnsi="Arial" w:cs="Arial"/>
                <w:b/>
                <w:sz w:val="20"/>
                <w:szCs w:val="20"/>
              </w:rPr>
              <w:t>Fee</w:t>
            </w:r>
          </w:p>
        </w:tc>
      </w:tr>
      <w:tr w:rsidR="00F04A10" w:rsidRPr="005F6732" w:rsidTr="004119AE">
        <w:trPr>
          <w:trHeight w:val="323"/>
        </w:trPr>
        <w:tc>
          <w:tcPr>
            <w:tcW w:w="190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I-140</w:t>
            </w:r>
          </w:p>
        </w:tc>
        <w:tc>
          <w:tcPr>
            <w:tcW w:w="4476"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Petition for an Immigrant Worker</w:t>
            </w:r>
          </w:p>
        </w:tc>
        <w:tc>
          <w:tcPr>
            <w:tcW w:w="3192" w:type="dxa"/>
            <w:tcBorders>
              <w:top w:val="single" w:sz="4" w:space="0" w:color="auto"/>
              <w:left w:val="single" w:sz="4" w:space="0" w:color="auto"/>
              <w:bottom w:val="single" w:sz="4" w:space="0" w:color="auto"/>
              <w:right w:val="single" w:sz="4" w:space="0" w:color="auto"/>
            </w:tcBorders>
            <w:hideMark/>
          </w:tcPr>
          <w:p w:rsidR="00F04A10" w:rsidRPr="005F6732" w:rsidRDefault="004030D9" w:rsidP="00F04A10">
            <w:pPr>
              <w:spacing w:after="0" w:line="240" w:lineRule="auto"/>
              <w:rPr>
                <w:rFonts w:ascii="Arial" w:hAnsi="Arial" w:cs="Arial"/>
                <w:sz w:val="20"/>
                <w:szCs w:val="20"/>
              </w:rPr>
            </w:pPr>
            <w:r>
              <w:rPr>
                <w:rFonts w:ascii="Arial" w:hAnsi="Arial" w:cs="Arial"/>
                <w:sz w:val="20"/>
                <w:szCs w:val="20"/>
              </w:rPr>
              <w:t>$700</w:t>
            </w:r>
          </w:p>
        </w:tc>
      </w:tr>
      <w:tr w:rsidR="00F04A10" w:rsidRPr="005F6732" w:rsidTr="00F04A10">
        <w:tc>
          <w:tcPr>
            <w:tcW w:w="190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I-907</w:t>
            </w:r>
          </w:p>
        </w:tc>
        <w:tc>
          <w:tcPr>
            <w:tcW w:w="4476" w:type="dxa"/>
            <w:tcBorders>
              <w:top w:val="single" w:sz="4" w:space="0" w:color="auto"/>
              <w:left w:val="single" w:sz="4" w:space="0" w:color="auto"/>
              <w:bottom w:val="single" w:sz="4" w:space="0" w:color="auto"/>
              <w:right w:val="single" w:sz="4" w:space="0" w:color="auto"/>
            </w:tcBorders>
            <w:hideMark/>
          </w:tcPr>
          <w:p w:rsidR="00F04A10" w:rsidRPr="005F6732" w:rsidRDefault="005F6732" w:rsidP="00F04A10">
            <w:pPr>
              <w:spacing w:after="0" w:line="240" w:lineRule="auto"/>
              <w:rPr>
                <w:rFonts w:ascii="Arial" w:hAnsi="Arial" w:cs="Arial"/>
                <w:sz w:val="20"/>
                <w:szCs w:val="20"/>
              </w:rPr>
            </w:pPr>
            <w:r w:rsidRPr="005F6732">
              <w:rPr>
                <w:rFonts w:ascii="Arial" w:hAnsi="Arial" w:cs="Arial"/>
                <w:sz w:val="20"/>
                <w:szCs w:val="20"/>
              </w:rPr>
              <w:t>Premium Processing Fee**</w:t>
            </w:r>
          </w:p>
        </w:tc>
        <w:tc>
          <w:tcPr>
            <w:tcW w:w="3192" w:type="dxa"/>
            <w:tcBorders>
              <w:top w:val="single" w:sz="4" w:space="0" w:color="auto"/>
              <w:left w:val="single" w:sz="4" w:space="0" w:color="auto"/>
              <w:bottom w:val="single" w:sz="4" w:space="0" w:color="auto"/>
              <w:right w:val="single" w:sz="4" w:space="0" w:color="auto"/>
            </w:tcBorders>
            <w:hideMark/>
          </w:tcPr>
          <w:p w:rsidR="00F04A10" w:rsidRPr="005F6732" w:rsidRDefault="00F267EA" w:rsidP="004119AE">
            <w:pPr>
              <w:spacing w:after="0" w:line="240" w:lineRule="auto"/>
              <w:rPr>
                <w:rFonts w:ascii="Arial" w:hAnsi="Arial" w:cs="Arial"/>
                <w:sz w:val="20"/>
                <w:szCs w:val="20"/>
              </w:rPr>
            </w:pPr>
            <w:r>
              <w:rPr>
                <w:rFonts w:ascii="Arial" w:hAnsi="Arial" w:cs="Arial"/>
                <w:sz w:val="20"/>
                <w:szCs w:val="20"/>
              </w:rPr>
              <w:t>$</w:t>
            </w:r>
            <w:r w:rsidR="004119AE">
              <w:rPr>
                <w:rFonts w:ascii="Arial" w:hAnsi="Arial" w:cs="Arial"/>
                <w:sz w:val="20"/>
                <w:szCs w:val="20"/>
              </w:rPr>
              <w:t>2,500</w:t>
            </w:r>
          </w:p>
        </w:tc>
      </w:tr>
      <w:tr w:rsidR="00F04A10" w:rsidRPr="005F6732" w:rsidTr="00F04A10">
        <w:tc>
          <w:tcPr>
            <w:tcW w:w="190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I-485</w:t>
            </w:r>
          </w:p>
        </w:tc>
        <w:tc>
          <w:tcPr>
            <w:tcW w:w="4476"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eastAsia="Times New Roman" w:hAnsi="Arial" w:cs="Arial"/>
                <w:sz w:val="20"/>
                <w:szCs w:val="20"/>
              </w:rPr>
            </w:pPr>
            <w:r w:rsidRPr="005F6732">
              <w:rPr>
                <w:rFonts w:ascii="Arial" w:hAnsi="Arial" w:cs="Arial"/>
                <w:sz w:val="20"/>
                <w:szCs w:val="20"/>
              </w:rPr>
              <w:t>Adjustment of Status to Become a Permanent Resident While in the U.S.**</w:t>
            </w:r>
            <w:r w:rsidR="005F6732" w:rsidRPr="005F6732">
              <w:rPr>
                <w:rFonts w:ascii="Arial" w:hAnsi="Arial" w:cs="Arial"/>
                <w:sz w:val="20"/>
                <w:szCs w:val="20"/>
              </w:rPr>
              <w:t>*</w:t>
            </w:r>
          </w:p>
          <w:p w:rsidR="00F04A10" w:rsidRPr="005F6732" w:rsidRDefault="00F04A10" w:rsidP="00F04A10">
            <w:pPr>
              <w:spacing w:after="0" w:line="240" w:lineRule="auto"/>
              <w:ind w:left="252"/>
              <w:rPr>
                <w:rFonts w:ascii="Arial" w:hAnsi="Arial" w:cs="Arial"/>
                <w:i/>
                <w:sz w:val="20"/>
                <w:szCs w:val="20"/>
              </w:rPr>
            </w:pPr>
            <w:r w:rsidRPr="005F6732">
              <w:rPr>
                <w:rFonts w:ascii="Arial" w:hAnsi="Arial" w:cs="Arial"/>
                <w:i/>
                <w:sz w:val="20"/>
                <w:szCs w:val="20"/>
              </w:rPr>
              <w:t>If under 14 and filing with the I-485 of at least one parent</w:t>
            </w:r>
          </w:p>
          <w:p w:rsidR="00F04A10" w:rsidRPr="005F6732" w:rsidRDefault="00F04A10" w:rsidP="00F04A10">
            <w:pPr>
              <w:spacing w:after="0" w:line="240" w:lineRule="auto"/>
              <w:ind w:left="252"/>
              <w:rPr>
                <w:rFonts w:ascii="Arial" w:hAnsi="Arial" w:cs="Arial"/>
                <w:i/>
                <w:sz w:val="20"/>
                <w:szCs w:val="20"/>
              </w:rPr>
            </w:pPr>
            <w:r w:rsidRPr="005F6732">
              <w:rPr>
                <w:rFonts w:ascii="Arial" w:hAnsi="Arial" w:cs="Arial"/>
                <w:i/>
                <w:sz w:val="20"/>
                <w:szCs w:val="20"/>
              </w:rPr>
              <w:t>Individuals aged 15-78, including required biometric fee</w:t>
            </w:r>
          </w:p>
        </w:tc>
        <w:tc>
          <w:tcPr>
            <w:tcW w:w="3192" w:type="dxa"/>
            <w:tcBorders>
              <w:top w:val="single" w:sz="4" w:space="0" w:color="auto"/>
              <w:left w:val="single" w:sz="4" w:space="0" w:color="auto"/>
              <w:bottom w:val="single" w:sz="4" w:space="0" w:color="auto"/>
              <w:right w:val="single" w:sz="4" w:space="0" w:color="auto"/>
            </w:tcBorders>
          </w:tcPr>
          <w:p w:rsidR="00F04A10" w:rsidRPr="005F6732" w:rsidRDefault="00F04A10" w:rsidP="00F04A10">
            <w:pPr>
              <w:spacing w:after="0" w:line="240" w:lineRule="auto"/>
              <w:rPr>
                <w:rFonts w:ascii="Arial" w:eastAsia="Times New Roman" w:hAnsi="Arial" w:cs="Arial"/>
                <w:sz w:val="20"/>
                <w:szCs w:val="20"/>
              </w:rPr>
            </w:pPr>
          </w:p>
          <w:p w:rsidR="00F04A10" w:rsidRPr="005F6732" w:rsidRDefault="00F04A10" w:rsidP="00F04A10">
            <w:pPr>
              <w:spacing w:after="0" w:line="240" w:lineRule="auto"/>
              <w:rPr>
                <w:rFonts w:ascii="Arial" w:hAnsi="Arial" w:cs="Arial"/>
                <w:sz w:val="20"/>
                <w:szCs w:val="20"/>
              </w:rPr>
            </w:pPr>
          </w:p>
          <w:p w:rsidR="00F04A10" w:rsidRPr="005F6732" w:rsidRDefault="00F04A10" w:rsidP="00F04A10">
            <w:pPr>
              <w:spacing w:after="0" w:line="240" w:lineRule="auto"/>
              <w:rPr>
                <w:rFonts w:ascii="Arial" w:hAnsi="Arial" w:cs="Arial"/>
                <w:sz w:val="20"/>
                <w:szCs w:val="20"/>
              </w:rPr>
            </w:pPr>
          </w:p>
          <w:p w:rsidR="00F04A10" w:rsidRPr="005F6732" w:rsidRDefault="00F267EA" w:rsidP="00F04A10">
            <w:pPr>
              <w:spacing w:after="0" w:line="240" w:lineRule="auto"/>
              <w:rPr>
                <w:rFonts w:ascii="Arial" w:hAnsi="Arial" w:cs="Arial"/>
                <w:sz w:val="20"/>
                <w:szCs w:val="20"/>
              </w:rPr>
            </w:pPr>
            <w:r>
              <w:rPr>
                <w:rFonts w:ascii="Arial" w:hAnsi="Arial" w:cs="Arial"/>
                <w:sz w:val="20"/>
                <w:szCs w:val="20"/>
              </w:rPr>
              <w:t>$750</w:t>
            </w:r>
          </w:p>
          <w:p w:rsidR="00F04A10" w:rsidRPr="005F6732" w:rsidRDefault="00F04A10" w:rsidP="00F04A10">
            <w:pPr>
              <w:spacing w:after="0" w:line="240" w:lineRule="auto"/>
              <w:rPr>
                <w:rFonts w:ascii="Arial" w:hAnsi="Arial" w:cs="Arial"/>
                <w:sz w:val="20"/>
                <w:szCs w:val="20"/>
              </w:rPr>
            </w:pPr>
          </w:p>
          <w:p w:rsidR="00F04A10" w:rsidRPr="005F6732" w:rsidRDefault="004030D9" w:rsidP="00F04A10">
            <w:pPr>
              <w:spacing w:after="0" w:line="240" w:lineRule="auto"/>
              <w:rPr>
                <w:rFonts w:ascii="Arial" w:hAnsi="Arial" w:cs="Arial"/>
                <w:sz w:val="20"/>
                <w:szCs w:val="20"/>
              </w:rPr>
            </w:pPr>
            <w:r>
              <w:rPr>
                <w:rFonts w:ascii="Arial" w:hAnsi="Arial" w:cs="Arial"/>
                <w:sz w:val="20"/>
                <w:szCs w:val="20"/>
              </w:rPr>
              <w:t>$1,225</w:t>
            </w:r>
          </w:p>
        </w:tc>
      </w:tr>
      <w:tr w:rsidR="00F04A10" w:rsidRPr="005F6732" w:rsidTr="00F04A10">
        <w:tc>
          <w:tcPr>
            <w:tcW w:w="1908"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IVP</w:t>
            </w:r>
          </w:p>
        </w:tc>
        <w:tc>
          <w:tcPr>
            <w:tcW w:w="4476" w:type="dxa"/>
            <w:tcBorders>
              <w:top w:val="single" w:sz="4" w:space="0" w:color="auto"/>
              <w:left w:val="single" w:sz="4" w:space="0" w:color="auto"/>
              <w:bottom w:val="single" w:sz="4" w:space="0" w:color="auto"/>
              <w:right w:val="single" w:sz="4" w:space="0" w:color="auto"/>
            </w:tcBorders>
            <w:hideMark/>
          </w:tcPr>
          <w:p w:rsidR="00F04A10" w:rsidRPr="005F6732" w:rsidRDefault="00F04A10" w:rsidP="00F04A10">
            <w:pPr>
              <w:spacing w:after="0" w:line="240" w:lineRule="auto"/>
              <w:rPr>
                <w:rFonts w:ascii="Arial" w:hAnsi="Arial" w:cs="Arial"/>
                <w:sz w:val="20"/>
                <w:szCs w:val="20"/>
              </w:rPr>
            </w:pPr>
            <w:r w:rsidRPr="005F6732">
              <w:rPr>
                <w:rFonts w:ascii="Arial" w:hAnsi="Arial" w:cs="Arial"/>
                <w:sz w:val="20"/>
                <w:szCs w:val="20"/>
              </w:rPr>
              <w:t>Immigrant Visa Application</w:t>
            </w:r>
          </w:p>
        </w:tc>
        <w:tc>
          <w:tcPr>
            <w:tcW w:w="3192" w:type="dxa"/>
            <w:tcBorders>
              <w:top w:val="single" w:sz="4" w:space="0" w:color="auto"/>
              <w:left w:val="single" w:sz="4" w:space="0" w:color="auto"/>
              <w:bottom w:val="single" w:sz="4" w:space="0" w:color="auto"/>
              <w:right w:val="single" w:sz="4" w:space="0" w:color="auto"/>
            </w:tcBorders>
            <w:hideMark/>
          </w:tcPr>
          <w:p w:rsidR="00F04A10" w:rsidRPr="005F6732" w:rsidRDefault="003D7BCE" w:rsidP="00F04A10">
            <w:pPr>
              <w:spacing w:after="0" w:line="240" w:lineRule="auto"/>
              <w:rPr>
                <w:rFonts w:ascii="Arial" w:hAnsi="Arial" w:cs="Arial"/>
                <w:sz w:val="20"/>
                <w:szCs w:val="20"/>
              </w:rPr>
            </w:pPr>
            <w:r>
              <w:rPr>
                <w:rFonts w:ascii="Arial" w:hAnsi="Arial" w:cs="Arial"/>
                <w:sz w:val="20"/>
                <w:szCs w:val="20"/>
              </w:rPr>
              <w:t>$519 ($345</w:t>
            </w:r>
            <w:r w:rsidR="00F04A10" w:rsidRPr="005F6732">
              <w:rPr>
                <w:rFonts w:ascii="Arial" w:hAnsi="Arial" w:cs="Arial"/>
                <w:sz w:val="20"/>
                <w:szCs w:val="20"/>
              </w:rPr>
              <w:t xml:space="preserve"> Fee + $74 Immigrant Visa Security Surcharge</w:t>
            </w:r>
            <w:r w:rsidR="00AA24FF" w:rsidRPr="005F6732">
              <w:rPr>
                <w:rFonts w:ascii="Arial" w:hAnsi="Arial" w:cs="Arial"/>
                <w:sz w:val="20"/>
                <w:szCs w:val="20"/>
              </w:rPr>
              <w:t xml:space="preserve"> + $100 USCIS processing fee</w:t>
            </w:r>
            <w:r w:rsidR="00F04A10" w:rsidRPr="005F6732">
              <w:rPr>
                <w:rFonts w:ascii="Arial" w:hAnsi="Arial" w:cs="Arial"/>
                <w:sz w:val="20"/>
                <w:szCs w:val="20"/>
              </w:rPr>
              <w:t>)</w:t>
            </w:r>
          </w:p>
        </w:tc>
      </w:tr>
    </w:tbl>
    <w:p w:rsidR="00F04A10" w:rsidRPr="005F6732" w:rsidRDefault="00F04A10" w:rsidP="00F04A10">
      <w:pPr>
        <w:spacing w:after="0" w:line="240" w:lineRule="auto"/>
        <w:rPr>
          <w:rFonts w:ascii="Arial" w:hAnsi="Arial" w:cs="Arial"/>
        </w:rPr>
      </w:pPr>
    </w:p>
    <w:p w:rsidR="00F04A10" w:rsidRDefault="00F04A10" w:rsidP="00F04A10">
      <w:pPr>
        <w:spacing w:after="0" w:line="240" w:lineRule="auto"/>
        <w:rPr>
          <w:rFonts w:ascii="Arial" w:hAnsi="Arial" w:cs="Arial"/>
          <w:sz w:val="20"/>
          <w:szCs w:val="20"/>
        </w:rPr>
      </w:pPr>
      <w:r w:rsidRPr="005F6732">
        <w:rPr>
          <w:rFonts w:ascii="Arial" w:hAnsi="Arial" w:cs="Arial"/>
          <w:sz w:val="20"/>
          <w:szCs w:val="20"/>
        </w:rPr>
        <w:t xml:space="preserve">**Premium processing allows the I-140 petition and I-485 application(s) to be sent directly to the appropriate Service Center instead of to a general post office lock box.  This can expedite the start of processing by several weeks.  In addition, once the I-140 is approved, the officer immediately reviews the related I-485.  The faster the I-140 is approved, the more quickly the I-485 will be reviewed.  </w:t>
      </w:r>
      <w:r w:rsidR="00F267EA">
        <w:rPr>
          <w:rFonts w:ascii="Arial" w:hAnsi="Arial" w:cs="Arial"/>
          <w:sz w:val="20"/>
          <w:szCs w:val="20"/>
        </w:rPr>
        <w:t xml:space="preserve">  </w:t>
      </w:r>
    </w:p>
    <w:p w:rsidR="00F267EA" w:rsidRDefault="00F267EA" w:rsidP="00F04A10">
      <w:pPr>
        <w:spacing w:after="0" w:line="240" w:lineRule="auto"/>
        <w:rPr>
          <w:rFonts w:ascii="Arial" w:hAnsi="Arial" w:cs="Arial"/>
          <w:sz w:val="20"/>
          <w:szCs w:val="20"/>
        </w:rPr>
      </w:pPr>
    </w:p>
    <w:p w:rsidR="00F267EA" w:rsidRPr="005F6732" w:rsidRDefault="00F267EA" w:rsidP="00F04A10">
      <w:pPr>
        <w:spacing w:after="0" w:line="240" w:lineRule="auto"/>
        <w:rPr>
          <w:rFonts w:ascii="Arial" w:hAnsi="Arial" w:cs="Arial"/>
          <w:sz w:val="20"/>
          <w:szCs w:val="20"/>
        </w:rPr>
      </w:pPr>
      <w:r>
        <w:rPr>
          <w:rFonts w:ascii="Arial" w:hAnsi="Arial" w:cs="Arial"/>
          <w:sz w:val="20"/>
          <w:szCs w:val="20"/>
        </w:rPr>
        <w:t xml:space="preserve">Premium processing is not available for National Interest Waivers.  In addition, the I-485 may only be submitted if there is an immigrant visa available.  Unfortunately, this is often the case now that many employment-based categories are backlogged.    </w:t>
      </w:r>
    </w:p>
    <w:p w:rsidR="00F04A10" w:rsidRPr="005F6732" w:rsidRDefault="00F04A10" w:rsidP="00F04A10">
      <w:pPr>
        <w:spacing w:after="0" w:line="240" w:lineRule="auto"/>
        <w:rPr>
          <w:rFonts w:ascii="Arial" w:hAnsi="Arial" w:cs="Arial"/>
          <w:sz w:val="20"/>
          <w:szCs w:val="20"/>
        </w:rPr>
      </w:pPr>
    </w:p>
    <w:p w:rsidR="003D7BCE" w:rsidRDefault="00F04A10" w:rsidP="00D27F73">
      <w:pPr>
        <w:spacing w:after="0" w:line="240" w:lineRule="auto"/>
        <w:rPr>
          <w:rFonts w:ascii="Arial" w:hAnsi="Arial" w:cs="Arial"/>
          <w:sz w:val="20"/>
          <w:szCs w:val="20"/>
        </w:rPr>
      </w:pPr>
      <w:r w:rsidRPr="005F6732">
        <w:rPr>
          <w:rFonts w:ascii="Arial" w:hAnsi="Arial" w:cs="Arial"/>
          <w:sz w:val="20"/>
          <w:szCs w:val="20"/>
        </w:rPr>
        <w:t xml:space="preserve">*** The application fee for an I-485 is a package fee that includes the Employment Authorization Document (EAD), advance parole document, and the biometric fee.  No premium processing is available for the I-485.  </w:t>
      </w:r>
    </w:p>
    <w:p w:rsidR="003D7BCE" w:rsidRDefault="003D7BCE" w:rsidP="00D27F73">
      <w:pPr>
        <w:spacing w:after="0" w:line="240" w:lineRule="auto"/>
        <w:rPr>
          <w:rFonts w:ascii="Arial" w:hAnsi="Arial" w:cs="Arial"/>
          <w:sz w:val="20"/>
          <w:szCs w:val="20"/>
        </w:rPr>
      </w:pPr>
    </w:p>
    <w:p w:rsidR="0045276D" w:rsidRPr="00E43ECB" w:rsidRDefault="0045276D" w:rsidP="00D27F73">
      <w:pPr>
        <w:spacing w:after="0" w:line="240" w:lineRule="auto"/>
        <w:rPr>
          <w:rFonts w:ascii="Arial" w:hAnsi="Arial" w:cs="Arial"/>
          <w:sz w:val="20"/>
          <w:szCs w:val="20"/>
        </w:rPr>
      </w:pPr>
      <w:r w:rsidRPr="00E43ECB">
        <w:rPr>
          <w:rFonts w:ascii="Arial" w:hAnsi="Arial" w:cs="Arial"/>
          <w:b/>
          <w:bCs/>
        </w:rPr>
        <w:t xml:space="preserve">Submitting a Departmental Request for Consideration of University </w:t>
      </w:r>
      <w:r w:rsidR="0081648A" w:rsidRPr="00E43ECB">
        <w:rPr>
          <w:rFonts w:ascii="Arial" w:hAnsi="Arial" w:cs="Arial"/>
          <w:b/>
          <w:bCs/>
        </w:rPr>
        <w:t>Of Colorado Denver Sponsorship f</w:t>
      </w:r>
      <w:r w:rsidRPr="00E43ECB">
        <w:rPr>
          <w:rFonts w:ascii="Arial" w:hAnsi="Arial" w:cs="Arial"/>
          <w:b/>
          <w:bCs/>
        </w:rPr>
        <w:t>or Employment-Based Permanent Residency</w:t>
      </w:r>
    </w:p>
    <w:p w:rsidR="0045276D" w:rsidRPr="00E43ECB" w:rsidRDefault="0045276D" w:rsidP="0045276D">
      <w:pPr>
        <w:spacing w:after="0"/>
        <w:ind w:right="720"/>
      </w:pPr>
    </w:p>
    <w:p w:rsidR="00A82E6C" w:rsidRPr="007D74EB" w:rsidRDefault="00A82E6C" w:rsidP="007D74EB">
      <w:pPr>
        <w:numPr>
          <w:ilvl w:val="0"/>
          <w:numId w:val="8"/>
        </w:numPr>
        <w:autoSpaceDE w:val="0"/>
        <w:autoSpaceDN w:val="0"/>
        <w:adjustRightInd w:val="0"/>
        <w:spacing w:line="240" w:lineRule="atLeast"/>
        <w:ind w:left="360"/>
        <w:rPr>
          <w:rFonts w:ascii="Arial" w:hAnsi="Arial" w:cs="Arial"/>
        </w:rPr>
      </w:pPr>
      <w:r w:rsidRPr="00E43ECB">
        <w:rPr>
          <w:rFonts w:ascii="Arial" w:hAnsi="Arial" w:cs="Arial"/>
        </w:rPr>
        <w:t>The Dean for all academic units except the School of Medicine, the Department Chair within the School of Medicine, or the head of the hiring unit for other entities should review the steps and costs of the LPR process and write a letter formally requesting ISSS consideration for any foreign national that the hiring unit would like to sponsor for permanent residency.  ISSS has</w:t>
      </w:r>
      <w:r w:rsidR="00F267EA">
        <w:rPr>
          <w:rFonts w:ascii="Arial" w:hAnsi="Arial" w:cs="Arial"/>
        </w:rPr>
        <w:t xml:space="preserve"> created the </w:t>
      </w:r>
      <w:r w:rsidR="00E23281">
        <w:rPr>
          <w:rFonts w:ascii="Arial" w:hAnsi="Arial" w:cs="Arial"/>
        </w:rPr>
        <w:t xml:space="preserve">“Template </w:t>
      </w:r>
      <w:r w:rsidRPr="00E43ECB">
        <w:rPr>
          <w:rFonts w:ascii="Arial" w:hAnsi="Arial" w:cs="Arial"/>
          <w:bCs/>
        </w:rPr>
        <w:t xml:space="preserve">Departmental Request for Consideration </w:t>
      </w:r>
      <w:r w:rsidR="003D7BCE">
        <w:rPr>
          <w:rFonts w:ascii="Arial" w:hAnsi="Arial" w:cs="Arial"/>
          <w:bCs/>
        </w:rPr>
        <w:t>of LPR Sponsorship” for this purpose</w:t>
      </w:r>
      <w:r w:rsidRPr="00E43ECB">
        <w:rPr>
          <w:rFonts w:ascii="Arial" w:hAnsi="Arial" w:cs="Arial"/>
          <w:bCs/>
        </w:rPr>
        <w:t xml:space="preserve">.  A </w:t>
      </w:r>
      <w:r w:rsidRPr="00E43ECB">
        <w:rPr>
          <w:rFonts w:ascii="Arial" w:hAnsi="Arial" w:cs="Arial"/>
          <w:bCs/>
        </w:rPr>
        <w:lastRenderedPageBreak/>
        <w:t>complete</w:t>
      </w:r>
      <w:r w:rsidRPr="00E43ECB">
        <w:rPr>
          <w:rFonts w:ascii="Arial" w:hAnsi="Arial" w:cs="Arial"/>
        </w:rPr>
        <w:t xml:space="preserve"> request package that includes the signed Departmental Request, LPR Questionnaire, a job description for the position that the individual currently holds or is expected to be promoted to, and an up-to-date version of the international employee’s resume or C.V., with a complete list of </w:t>
      </w:r>
      <w:r w:rsidR="007D74EB">
        <w:rPr>
          <w:rFonts w:ascii="Arial" w:hAnsi="Arial" w:cs="Arial"/>
        </w:rPr>
        <w:t xml:space="preserve">publications, should be sent to ISSS at </w:t>
      </w:r>
      <w:hyperlink r:id="rId9" w:history="1">
        <w:r w:rsidR="007D74EB" w:rsidRPr="007D74EB">
          <w:rPr>
            <w:rStyle w:val="Hyperlink"/>
            <w:rFonts w:ascii="Arial" w:hAnsi="Arial" w:cs="Arial"/>
          </w:rPr>
          <w:t>ISSS@ucdenver.edu</w:t>
        </w:r>
      </w:hyperlink>
      <w:r w:rsidR="007D74EB">
        <w:rPr>
          <w:rFonts w:ascii="Arial" w:hAnsi="Arial" w:cs="Arial"/>
        </w:rPr>
        <w:t>.</w:t>
      </w:r>
      <w:r w:rsidR="003D7BCE" w:rsidRPr="007D74EB">
        <w:rPr>
          <w:rFonts w:ascii="Arial" w:hAnsi="Arial" w:cs="Arial"/>
        </w:rPr>
        <w:t xml:space="preserve">  </w:t>
      </w:r>
      <w:r w:rsidRPr="007D74EB">
        <w:rPr>
          <w:rFonts w:ascii="Arial" w:hAnsi="Arial" w:cs="Arial"/>
        </w:rPr>
        <w:t xml:space="preserve"> </w:t>
      </w:r>
    </w:p>
    <w:p w:rsidR="00045061" w:rsidRPr="00045061" w:rsidRDefault="00D27F73" w:rsidP="00045061">
      <w:pPr>
        <w:numPr>
          <w:ilvl w:val="0"/>
          <w:numId w:val="8"/>
        </w:numPr>
        <w:autoSpaceDE w:val="0"/>
        <w:autoSpaceDN w:val="0"/>
        <w:adjustRightInd w:val="0"/>
        <w:spacing w:line="240" w:lineRule="atLeast"/>
        <w:ind w:left="360"/>
        <w:rPr>
          <w:rFonts w:ascii="Arial" w:hAnsi="Arial" w:cs="Arial"/>
        </w:rPr>
      </w:pPr>
      <w:r w:rsidRPr="00E43ECB">
        <w:rPr>
          <w:rFonts w:ascii="Arial" w:hAnsi="Arial" w:cs="Arial"/>
        </w:rPr>
        <w:t xml:space="preserve">ISSS will review the request for consideration and </w:t>
      </w:r>
      <w:r w:rsidR="00045061">
        <w:rPr>
          <w:rFonts w:ascii="Arial" w:hAnsi="Arial" w:cs="Arial"/>
        </w:rPr>
        <w:t>will determine</w:t>
      </w:r>
      <w:r w:rsidR="00045061" w:rsidRPr="00E43ECB">
        <w:rPr>
          <w:rFonts w:ascii="Arial" w:hAnsi="Arial" w:cs="Arial"/>
        </w:rPr>
        <w:t xml:space="preserve"> whether or not to sponsor an international employee for employment-based permanent residency.</w:t>
      </w:r>
      <w:r w:rsidR="00045061">
        <w:rPr>
          <w:rFonts w:ascii="Arial" w:hAnsi="Arial" w:cs="Arial"/>
        </w:rPr>
        <w:t xml:space="preserve">  </w:t>
      </w:r>
      <w:r w:rsidR="00045061" w:rsidRPr="00E43ECB">
        <w:rPr>
          <w:rFonts w:ascii="Arial" w:hAnsi="Arial" w:cs="Arial"/>
        </w:rPr>
        <w:t xml:space="preserve">In some cases, </w:t>
      </w:r>
      <w:r w:rsidR="007D74EB">
        <w:rPr>
          <w:rFonts w:ascii="Arial" w:hAnsi="Arial" w:cs="Arial"/>
        </w:rPr>
        <w:t xml:space="preserve">ISSS </w:t>
      </w:r>
      <w:r w:rsidR="00045061" w:rsidRPr="00E43ECB">
        <w:rPr>
          <w:rFonts w:ascii="Arial" w:hAnsi="Arial" w:cs="Arial"/>
        </w:rPr>
        <w:t xml:space="preserve">will provide guidance to the department and the foreign national about what can be done to strengthen an individual’s case and will then agree to reevaluate the case </w:t>
      </w:r>
      <w:r w:rsidR="003D7BCE">
        <w:rPr>
          <w:rFonts w:ascii="Arial" w:hAnsi="Arial" w:cs="Arial"/>
        </w:rPr>
        <w:t xml:space="preserve">within a specific time period or </w:t>
      </w:r>
      <w:r w:rsidR="00045061" w:rsidRPr="00E43ECB">
        <w:rPr>
          <w:rFonts w:ascii="Arial" w:hAnsi="Arial" w:cs="Arial"/>
        </w:rPr>
        <w:t>once additional evidence is available.</w:t>
      </w:r>
    </w:p>
    <w:p w:rsidR="003D7BCE" w:rsidRDefault="00045061" w:rsidP="00A90AB7">
      <w:pPr>
        <w:numPr>
          <w:ilvl w:val="0"/>
          <w:numId w:val="8"/>
        </w:numPr>
        <w:autoSpaceDE w:val="0"/>
        <w:autoSpaceDN w:val="0"/>
        <w:adjustRightInd w:val="0"/>
        <w:spacing w:line="240" w:lineRule="atLeast"/>
        <w:ind w:left="360"/>
        <w:rPr>
          <w:rFonts w:ascii="Arial" w:hAnsi="Arial" w:cs="Arial"/>
        </w:rPr>
      </w:pPr>
      <w:r w:rsidRPr="003D7BCE">
        <w:rPr>
          <w:rFonts w:ascii="Arial" w:hAnsi="Arial" w:cs="Arial"/>
        </w:rPr>
        <w:t>I</w:t>
      </w:r>
      <w:r w:rsidR="00E43ECB" w:rsidRPr="003D7BCE">
        <w:rPr>
          <w:rFonts w:ascii="Arial" w:hAnsi="Arial" w:cs="Arial"/>
        </w:rPr>
        <w:t xml:space="preserve">f sponsorship </w:t>
      </w:r>
      <w:r w:rsidRPr="003D7BCE">
        <w:rPr>
          <w:rFonts w:ascii="Arial" w:hAnsi="Arial" w:cs="Arial"/>
        </w:rPr>
        <w:t>is warranted, but would</w:t>
      </w:r>
      <w:r w:rsidR="00E43ECB" w:rsidRPr="003D7BCE">
        <w:rPr>
          <w:rFonts w:ascii="Arial" w:hAnsi="Arial" w:cs="Arial"/>
        </w:rPr>
        <w:t xml:space="preserve"> require us to use the Basic Labor Certification process, </w:t>
      </w:r>
      <w:r w:rsidRPr="003D7BCE">
        <w:rPr>
          <w:rFonts w:ascii="Arial" w:hAnsi="Arial" w:cs="Arial"/>
        </w:rPr>
        <w:t xml:space="preserve">the </w:t>
      </w:r>
      <w:r w:rsidR="007D74EB">
        <w:rPr>
          <w:rFonts w:ascii="Arial" w:hAnsi="Arial" w:cs="Arial"/>
        </w:rPr>
        <w:t>hiring unit must submit a “Non-Person Profile” (</w:t>
      </w:r>
      <w:r w:rsidR="003D7BCE">
        <w:rPr>
          <w:rFonts w:ascii="Arial" w:hAnsi="Arial" w:cs="Arial"/>
        </w:rPr>
        <w:t>NPP</w:t>
      </w:r>
      <w:r w:rsidR="007D74EB">
        <w:rPr>
          <w:rFonts w:ascii="Arial" w:hAnsi="Arial" w:cs="Arial"/>
        </w:rPr>
        <w:t>)</w:t>
      </w:r>
      <w:r w:rsidR="003D7BCE">
        <w:rPr>
          <w:rFonts w:ascii="Arial" w:hAnsi="Arial" w:cs="Arial"/>
        </w:rPr>
        <w:t xml:space="preserve"> to HR with the job description drafted by ISSS and the hiring unit and copy</w:t>
      </w:r>
      <w:r w:rsidR="00E43ECB" w:rsidRPr="003D7BCE">
        <w:rPr>
          <w:rFonts w:ascii="Arial" w:hAnsi="Arial" w:cs="Arial"/>
        </w:rPr>
        <w:t xml:space="preserve"> Florie Montoya, Director of Employment Services</w:t>
      </w:r>
      <w:r w:rsidR="003D7BCE">
        <w:rPr>
          <w:rFonts w:ascii="Arial" w:hAnsi="Arial" w:cs="Arial"/>
        </w:rPr>
        <w:t>.  HR must approve the language used in t</w:t>
      </w:r>
      <w:r w:rsidR="007D74EB">
        <w:rPr>
          <w:rFonts w:ascii="Arial" w:hAnsi="Arial" w:cs="Arial"/>
        </w:rPr>
        <w:t>he job description, and this will</w:t>
      </w:r>
      <w:r w:rsidR="003D7BCE">
        <w:rPr>
          <w:rFonts w:ascii="Arial" w:hAnsi="Arial" w:cs="Arial"/>
        </w:rPr>
        <w:t xml:space="preserve"> determine whether or not we can proceed with the labor certification</w:t>
      </w:r>
      <w:r w:rsidRPr="003D7BCE">
        <w:rPr>
          <w:rFonts w:ascii="Arial" w:hAnsi="Arial" w:cs="Arial"/>
        </w:rPr>
        <w:t xml:space="preserve">.  </w:t>
      </w:r>
    </w:p>
    <w:p w:rsidR="00D27F73" w:rsidRPr="003D7BCE" w:rsidRDefault="00045061" w:rsidP="00A90AB7">
      <w:pPr>
        <w:numPr>
          <w:ilvl w:val="0"/>
          <w:numId w:val="8"/>
        </w:numPr>
        <w:autoSpaceDE w:val="0"/>
        <w:autoSpaceDN w:val="0"/>
        <w:adjustRightInd w:val="0"/>
        <w:spacing w:line="240" w:lineRule="atLeast"/>
        <w:ind w:left="360"/>
        <w:rPr>
          <w:rFonts w:ascii="Arial" w:hAnsi="Arial" w:cs="Arial"/>
        </w:rPr>
      </w:pPr>
      <w:r w:rsidRPr="003D7BCE">
        <w:rPr>
          <w:rFonts w:ascii="Arial" w:hAnsi="Arial" w:cs="Arial"/>
        </w:rPr>
        <w:t>Once</w:t>
      </w:r>
      <w:r w:rsidR="00D27F73" w:rsidRPr="003D7BCE">
        <w:rPr>
          <w:rFonts w:ascii="Arial" w:hAnsi="Arial" w:cs="Arial"/>
        </w:rPr>
        <w:t xml:space="preserve"> the decision is made to proceed with the LPR process, the direct supervisor, a unit administrator who has </w:t>
      </w:r>
      <w:r w:rsidR="00D847B7">
        <w:rPr>
          <w:rFonts w:ascii="Arial" w:hAnsi="Arial" w:cs="Arial"/>
        </w:rPr>
        <w:t xml:space="preserve">successfully </w:t>
      </w:r>
      <w:r w:rsidR="00D27F73" w:rsidRPr="003D7BCE">
        <w:rPr>
          <w:rFonts w:ascii="Arial" w:hAnsi="Arial" w:cs="Arial"/>
        </w:rPr>
        <w:t>completed ISSS training on the LPR process, and the international employee will then meet with ISSS staff and outside counsel where appropriate.  The goal of the meeting will be to confirm the most appropriate pathway to permanent residency based on University employment, explain the general process including estimated timeline and any costs associated with the application, and outline respective responsibilities to complete the application process.</w:t>
      </w:r>
    </w:p>
    <w:p w:rsidR="00045061" w:rsidRDefault="00045061" w:rsidP="0045276D">
      <w:pPr>
        <w:spacing w:after="0"/>
        <w:rPr>
          <w:rFonts w:ascii="Arial" w:hAnsi="Arial"/>
          <w:highlight w:val="yellow"/>
        </w:rPr>
      </w:pPr>
    </w:p>
    <w:p w:rsidR="0045276D" w:rsidRPr="005F6732" w:rsidRDefault="0045276D" w:rsidP="0045276D">
      <w:pPr>
        <w:spacing w:after="0"/>
        <w:rPr>
          <w:rFonts w:ascii="Arial" w:hAnsi="Arial"/>
        </w:rPr>
      </w:pPr>
      <w:r w:rsidRPr="00045061">
        <w:rPr>
          <w:rFonts w:ascii="Arial" w:hAnsi="Arial"/>
        </w:rPr>
        <w:t>ISSS looks forward to working with you!</w:t>
      </w:r>
    </w:p>
    <w:p w:rsidR="0045276D" w:rsidRDefault="0045276D" w:rsidP="0098707D">
      <w:pPr>
        <w:spacing w:after="0"/>
        <w:rPr>
          <w:rFonts w:ascii="Arial" w:hAnsi="Arial"/>
          <w:b/>
          <w:sz w:val="20"/>
        </w:rPr>
      </w:pPr>
    </w:p>
    <w:sectPr w:rsidR="0045276D" w:rsidSect="008C1126">
      <w:head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3A" w:rsidRDefault="0099503A" w:rsidP="00306DB3">
      <w:pPr>
        <w:spacing w:after="0" w:line="240" w:lineRule="auto"/>
      </w:pPr>
      <w:r>
        <w:separator/>
      </w:r>
    </w:p>
  </w:endnote>
  <w:endnote w:type="continuationSeparator" w:id="0">
    <w:p w:rsidR="0099503A" w:rsidRDefault="0099503A" w:rsidP="0030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3A" w:rsidRDefault="0099503A" w:rsidP="00306DB3">
      <w:pPr>
        <w:spacing w:after="0" w:line="240" w:lineRule="auto"/>
      </w:pPr>
      <w:r>
        <w:separator/>
      </w:r>
    </w:p>
  </w:footnote>
  <w:footnote w:type="continuationSeparator" w:id="0">
    <w:p w:rsidR="0099503A" w:rsidRDefault="0099503A" w:rsidP="0030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3A" w:rsidRPr="00C47CCB" w:rsidRDefault="0099503A" w:rsidP="00C47CCB">
    <w:pPr>
      <w:pStyle w:val="NoSpacing"/>
      <w:ind w:left="6480" w:firstLine="720"/>
      <w:rPr>
        <w:rFonts w:ascii="Arial" w:hAnsi="Arial" w:cs="Arial"/>
      </w:rPr>
    </w:pPr>
  </w:p>
  <w:p w:rsidR="0099503A" w:rsidRDefault="0099503A">
    <w:pPr>
      <w:pStyle w:val="Header"/>
    </w:pPr>
  </w:p>
  <w:p w:rsidR="0099503A" w:rsidRDefault="009950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3A" w:rsidRDefault="0099503A" w:rsidP="008C1126">
    <w:pPr>
      <w:pStyle w:val="NoSpacing"/>
      <w:ind w:left="6480" w:firstLine="720"/>
      <w:rPr>
        <w:rFonts w:ascii="Arial" w:hAnsi="Arial" w:cs="Arial"/>
        <w:sz w:val="18"/>
        <w:szCs w:val="18"/>
      </w:rPr>
    </w:pPr>
  </w:p>
  <w:p w:rsidR="0099503A" w:rsidRDefault="0099503A" w:rsidP="008C1126">
    <w:pPr>
      <w:pStyle w:val="NoSpacing"/>
      <w:ind w:left="6480" w:firstLine="720"/>
      <w:rPr>
        <w:rFonts w:ascii="Arial" w:hAnsi="Arial" w:cs="Arial"/>
        <w:sz w:val="18"/>
        <w:szCs w:val="18"/>
      </w:rPr>
    </w:pPr>
  </w:p>
  <w:p w:rsidR="0099503A" w:rsidRDefault="0099503A" w:rsidP="008C1126">
    <w:pPr>
      <w:pStyle w:val="NoSpacing"/>
      <w:ind w:left="6480" w:firstLine="720"/>
    </w:pPr>
    <w:r>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-1395095</wp:posOffset>
          </wp:positionV>
          <wp:extent cx="2752725" cy="400050"/>
          <wp:effectExtent l="0" t="0" r="9525" b="0"/>
          <wp:wrapSquare wrapText="bothSides"/>
          <wp:docPr id="1" name="Picture 0" descr="2campus_cmyk_h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campus_cmyk_h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400050"/>
                  </a:xfrm>
                  <a:prstGeom prst="rect">
                    <a:avLst/>
                  </a:prstGeom>
                  <a:noFill/>
                </pic:spPr>
              </pic:pic>
            </a:graphicData>
          </a:graphic>
        </wp:anchor>
      </w:drawing>
    </w:r>
    <w:r w:rsidRPr="00644A6F">
      <w:rPr>
        <w:rFonts w:ascii="Arial" w:hAnsi="Arial" w:cs="Arial"/>
        <w:sz w:val="18"/>
        <w:szCs w:val="18"/>
      </w:rPr>
      <w:t>Campus Box A005/185</w:t>
    </w:r>
  </w:p>
  <w:p w:rsidR="0099503A" w:rsidRDefault="0099503A" w:rsidP="008C1126">
    <w:pPr>
      <w:pStyle w:val="NoSpacing"/>
      <w:ind w:left="6480" w:firstLine="720"/>
    </w:pPr>
    <w:r>
      <w:rPr>
        <w:rFonts w:ascii="Arial" w:hAnsi="Arial" w:cs="Arial"/>
        <w:sz w:val="18"/>
        <w:szCs w:val="18"/>
      </w:rPr>
      <w:t>P.O Box 1</w:t>
    </w:r>
    <w:r w:rsidRPr="00644A6F">
      <w:rPr>
        <w:rFonts w:ascii="Arial" w:hAnsi="Arial" w:cs="Arial"/>
        <w:sz w:val="18"/>
        <w:szCs w:val="18"/>
      </w:rPr>
      <w:t>73364</w:t>
    </w:r>
  </w:p>
  <w:p w:rsidR="0099503A" w:rsidRDefault="0099503A" w:rsidP="008C1126">
    <w:pPr>
      <w:pStyle w:val="NoSpacing"/>
      <w:ind w:left="6480" w:firstLine="720"/>
      <w:rPr>
        <w:rFonts w:ascii="Arial" w:hAnsi="Arial" w:cs="Arial"/>
        <w:sz w:val="18"/>
        <w:szCs w:val="18"/>
      </w:rPr>
    </w:pPr>
    <w:r>
      <w:rPr>
        <w:rFonts w:ascii="Arial" w:hAnsi="Arial" w:cs="Arial"/>
        <w:sz w:val="18"/>
        <w:szCs w:val="18"/>
      </w:rPr>
      <w:t>1380 Lawrence Street, Suite 932</w:t>
    </w:r>
  </w:p>
  <w:p w:rsidR="0099503A" w:rsidRDefault="0099503A" w:rsidP="008C1126">
    <w:pPr>
      <w:pStyle w:val="NoSpacing"/>
      <w:ind w:left="6480" w:firstLine="720"/>
      <w:rPr>
        <w:rFonts w:ascii="Arial" w:hAnsi="Arial" w:cs="Arial"/>
        <w:sz w:val="18"/>
        <w:szCs w:val="18"/>
      </w:rPr>
    </w:pPr>
    <w:r>
      <w:rPr>
        <w:rFonts w:ascii="Arial" w:hAnsi="Arial" w:cs="Arial"/>
        <w:sz w:val="18"/>
        <w:szCs w:val="18"/>
      </w:rPr>
      <w:t>Denver, CO 80217-3364</w:t>
    </w:r>
  </w:p>
  <w:p w:rsidR="0099503A" w:rsidRDefault="0099503A" w:rsidP="008C1126">
    <w:pPr>
      <w:pStyle w:val="NoSpacing"/>
      <w:ind w:firstLine="720"/>
      <w:rPr>
        <w:rFonts w:ascii="Arial" w:hAnsi="Arial" w:cs="Arial"/>
        <w:sz w:val="18"/>
        <w:szCs w:val="18"/>
      </w:rPr>
    </w:pPr>
    <w:r w:rsidRPr="004808EB">
      <w:rPr>
        <w:rFonts w:ascii="Arial" w:hAnsi="Arial" w:cs="Arial"/>
      </w:rPr>
      <w:t>Office of International Affairs</w:t>
    </w:r>
    <w:r w:rsidRPr="00A91474">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Office:</w:t>
    </w:r>
    <w:r>
      <w:rPr>
        <w:rFonts w:ascii="Arial" w:hAnsi="Arial" w:cs="Arial"/>
        <w:sz w:val="18"/>
        <w:szCs w:val="18"/>
      </w:rPr>
      <w:tab/>
      <w:t>303.315.2230</w:t>
    </w:r>
  </w:p>
  <w:p w:rsidR="0099503A" w:rsidRDefault="0099503A" w:rsidP="008C1126">
    <w:pPr>
      <w:pStyle w:val="NoSpacing"/>
      <w:ind w:firstLine="720"/>
      <w:rPr>
        <w:rFonts w:ascii="Arial" w:hAnsi="Arial" w:cs="Arial"/>
        <w:sz w:val="18"/>
        <w:szCs w:val="18"/>
      </w:rPr>
    </w:pPr>
    <w:r w:rsidRPr="003A56AA">
      <w:rPr>
        <w:rFonts w:ascii="Arial" w:hAnsi="Arial" w:cs="Arial"/>
        <w:i/>
        <w:sz w:val="18"/>
        <w:szCs w:val="18"/>
      </w:rPr>
      <w:t xml:space="preserve">International </w:t>
    </w:r>
    <w:r>
      <w:rPr>
        <w:rFonts w:ascii="Arial" w:hAnsi="Arial" w:cs="Arial"/>
        <w:i/>
        <w:sz w:val="18"/>
        <w:szCs w:val="18"/>
      </w:rPr>
      <w:t xml:space="preserve">Student &amp; </w:t>
    </w:r>
    <w:r w:rsidR="003D05D6">
      <w:rPr>
        <w:rFonts w:ascii="Arial" w:hAnsi="Arial" w:cs="Arial"/>
        <w:i/>
        <w:sz w:val="18"/>
        <w:szCs w:val="18"/>
      </w:rPr>
      <w:t>International employee</w:t>
    </w:r>
    <w:r>
      <w:rPr>
        <w:rFonts w:ascii="Arial" w:hAnsi="Arial" w:cs="Arial"/>
        <w:i/>
        <w:sz w:val="18"/>
        <w:szCs w:val="18"/>
      </w:rPr>
      <w:t xml:space="preserve"> Services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Fax:</w:t>
    </w:r>
    <w:r>
      <w:rPr>
        <w:rFonts w:ascii="Arial" w:hAnsi="Arial" w:cs="Arial"/>
        <w:sz w:val="18"/>
        <w:szCs w:val="18"/>
      </w:rPr>
      <w:tab/>
      <w:t>303.315.2246</w:t>
    </w:r>
  </w:p>
  <w:p w:rsidR="0099503A" w:rsidRDefault="00ED1C83" w:rsidP="008C1126">
    <w:pPr>
      <w:pStyle w:val="NoSpacing"/>
      <w:ind w:left="6480" w:firstLine="720"/>
      <w:rPr>
        <w:rFonts w:ascii="Arial" w:hAnsi="Arial" w:cs="Arial"/>
        <w:sz w:val="18"/>
        <w:szCs w:val="18"/>
      </w:rPr>
    </w:pPr>
    <w:hyperlink r:id="rId2" w:history="1">
      <w:r w:rsidR="0099503A" w:rsidRPr="003D517B">
        <w:rPr>
          <w:rStyle w:val="Hyperlink"/>
          <w:rFonts w:ascii="Arial" w:hAnsi="Arial" w:cs="Arial"/>
          <w:sz w:val="18"/>
          <w:szCs w:val="18"/>
        </w:rPr>
        <w:t>www.ucdenver.edu/international</w:t>
      </w:r>
    </w:hyperlink>
    <w:r w:rsidR="0099503A">
      <w:rPr>
        <w:rFonts w:ascii="Arial" w:hAnsi="Arial" w:cs="Arial"/>
        <w:sz w:val="18"/>
        <w:szCs w:val="18"/>
      </w:rPr>
      <w:t xml:space="preserve"> </w:t>
    </w:r>
  </w:p>
  <w:p w:rsidR="0099503A" w:rsidRDefault="009950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7C40"/>
    <w:multiLevelType w:val="hybridMultilevel"/>
    <w:tmpl w:val="D6F4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4FE2"/>
    <w:multiLevelType w:val="hybridMultilevel"/>
    <w:tmpl w:val="D3D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275F4"/>
    <w:multiLevelType w:val="hybridMultilevel"/>
    <w:tmpl w:val="DFD6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D1438"/>
    <w:multiLevelType w:val="multilevel"/>
    <w:tmpl w:val="BBE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42FCE"/>
    <w:multiLevelType w:val="hybridMultilevel"/>
    <w:tmpl w:val="710E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66A53"/>
    <w:multiLevelType w:val="hybridMultilevel"/>
    <w:tmpl w:val="8F4A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F276D"/>
    <w:multiLevelType w:val="hybridMultilevel"/>
    <w:tmpl w:val="9B1E41DE"/>
    <w:lvl w:ilvl="0" w:tplc="2F10098E">
      <w:start w:val="1"/>
      <w:numFmt w:val="bullet"/>
      <w:lvlText w:val=""/>
      <w:lvlJc w:val="left"/>
      <w:pPr>
        <w:tabs>
          <w:tab w:val="num" w:pos="720"/>
        </w:tabs>
        <w:ind w:left="720" w:hanging="360"/>
      </w:pPr>
      <w:rPr>
        <w:rFonts w:ascii="Wingdings 2" w:hAnsi="Wingdings 2" w:hint="default"/>
      </w:rPr>
    </w:lvl>
    <w:lvl w:ilvl="1" w:tplc="C8BA2F28">
      <w:start w:val="1"/>
      <w:numFmt w:val="bullet"/>
      <w:lvlText w:val=""/>
      <w:lvlJc w:val="left"/>
      <w:pPr>
        <w:tabs>
          <w:tab w:val="num" w:pos="1440"/>
        </w:tabs>
        <w:ind w:left="1440" w:hanging="360"/>
      </w:pPr>
      <w:rPr>
        <w:rFonts w:ascii="Wingdings 2" w:hAnsi="Wingdings 2" w:hint="default"/>
      </w:rPr>
    </w:lvl>
    <w:lvl w:ilvl="2" w:tplc="6D443624" w:tentative="1">
      <w:start w:val="1"/>
      <w:numFmt w:val="bullet"/>
      <w:lvlText w:val=""/>
      <w:lvlJc w:val="left"/>
      <w:pPr>
        <w:tabs>
          <w:tab w:val="num" w:pos="2160"/>
        </w:tabs>
        <w:ind w:left="2160" w:hanging="360"/>
      </w:pPr>
      <w:rPr>
        <w:rFonts w:ascii="Wingdings 2" w:hAnsi="Wingdings 2" w:hint="default"/>
      </w:rPr>
    </w:lvl>
    <w:lvl w:ilvl="3" w:tplc="6ABE66DC" w:tentative="1">
      <w:start w:val="1"/>
      <w:numFmt w:val="bullet"/>
      <w:lvlText w:val=""/>
      <w:lvlJc w:val="left"/>
      <w:pPr>
        <w:tabs>
          <w:tab w:val="num" w:pos="2880"/>
        </w:tabs>
        <w:ind w:left="2880" w:hanging="360"/>
      </w:pPr>
      <w:rPr>
        <w:rFonts w:ascii="Wingdings 2" w:hAnsi="Wingdings 2" w:hint="default"/>
      </w:rPr>
    </w:lvl>
    <w:lvl w:ilvl="4" w:tplc="7A86EE2C" w:tentative="1">
      <w:start w:val="1"/>
      <w:numFmt w:val="bullet"/>
      <w:lvlText w:val=""/>
      <w:lvlJc w:val="left"/>
      <w:pPr>
        <w:tabs>
          <w:tab w:val="num" w:pos="3600"/>
        </w:tabs>
        <w:ind w:left="3600" w:hanging="360"/>
      </w:pPr>
      <w:rPr>
        <w:rFonts w:ascii="Wingdings 2" w:hAnsi="Wingdings 2" w:hint="default"/>
      </w:rPr>
    </w:lvl>
    <w:lvl w:ilvl="5" w:tplc="C610EB50" w:tentative="1">
      <w:start w:val="1"/>
      <w:numFmt w:val="bullet"/>
      <w:lvlText w:val=""/>
      <w:lvlJc w:val="left"/>
      <w:pPr>
        <w:tabs>
          <w:tab w:val="num" w:pos="4320"/>
        </w:tabs>
        <w:ind w:left="4320" w:hanging="360"/>
      </w:pPr>
      <w:rPr>
        <w:rFonts w:ascii="Wingdings 2" w:hAnsi="Wingdings 2" w:hint="default"/>
      </w:rPr>
    </w:lvl>
    <w:lvl w:ilvl="6" w:tplc="11C4D626" w:tentative="1">
      <w:start w:val="1"/>
      <w:numFmt w:val="bullet"/>
      <w:lvlText w:val=""/>
      <w:lvlJc w:val="left"/>
      <w:pPr>
        <w:tabs>
          <w:tab w:val="num" w:pos="5040"/>
        </w:tabs>
        <w:ind w:left="5040" w:hanging="360"/>
      </w:pPr>
      <w:rPr>
        <w:rFonts w:ascii="Wingdings 2" w:hAnsi="Wingdings 2" w:hint="default"/>
      </w:rPr>
    </w:lvl>
    <w:lvl w:ilvl="7" w:tplc="2174D308" w:tentative="1">
      <w:start w:val="1"/>
      <w:numFmt w:val="bullet"/>
      <w:lvlText w:val=""/>
      <w:lvlJc w:val="left"/>
      <w:pPr>
        <w:tabs>
          <w:tab w:val="num" w:pos="5760"/>
        </w:tabs>
        <w:ind w:left="5760" w:hanging="360"/>
      </w:pPr>
      <w:rPr>
        <w:rFonts w:ascii="Wingdings 2" w:hAnsi="Wingdings 2" w:hint="default"/>
      </w:rPr>
    </w:lvl>
    <w:lvl w:ilvl="8" w:tplc="598A645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D9803EB"/>
    <w:multiLevelType w:val="hybridMultilevel"/>
    <w:tmpl w:val="1BF85FF4"/>
    <w:lvl w:ilvl="0" w:tplc="7F6E0294">
      <w:start w:val="1"/>
      <w:numFmt w:val="bullet"/>
      <w:lvlText w:val=""/>
      <w:lvlJc w:val="left"/>
      <w:pPr>
        <w:tabs>
          <w:tab w:val="num" w:pos="720"/>
        </w:tabs>
        <w:ind w:left="720" w:hanging="360"/>
      </w:pPr>
      <w:rPr>
        <w:rFonts w:ascii="Wingdings" w:hAnsi="Wingdings" w:hint="default"/>
      </w:rPr>
    </w:lvl>
    <w:lvl w:ilvl="1" w:tplc="5B2C0060">
      <w:start w:val="1"/>
      <w:numFmt w:val="bullet"/>
      <w:lvlText w:val=""/>
      <w:lvlJc w:val="left"/>
      <w:pPr>
        <w:tabs>
          <w:tab w:val="num" w:pos="1440"/>
        </w:tabs>
        <w:ind w:left="1440" w:hanging="360"/>
      </w:pPr>
      <w:rPr>
        <w:rFonts w:ascii="Wingdings" w:hAnsi="Wingdings" w:hint="default"/>
      </w:rPr>
    </w:lvl>
    <w:lvl w:ilvl="2" w:tplc="E09A11AA" w:tentative="1">
      <w:start w:val="1"/>
      <w:numFmt w:val="bullet"/>
      <w:lvlText w:val=""/>
      <w:lvlJc w:val="left"/>
      <w:pPr>
        <w:tabs>
          <w:tab w:val="num" w:pos="2160"/>
        </w:tabs>
        <w:ind w:left="2160" w:hanging="360"/>
      </w:pPr>
      <w:rPr>
        <w:rFonts w:ascii="Wingdings" w:hAnsi="Wingdings" w:hint="default"/>
      </w:rPr>
    </w:lvl>
    <w:lvl w:ilvl="3" w:tplc="FD0678E8" w:tentative="1">
      <w:start w:val="1"/>
      <w:numFmt w:val="bullet"/>
      <w:lvlText w:val=""/>
      <w:lvlJc w:val="left"/>
      <w:pPr>
        <w:tabs>
          <w:tab w:val="num" w:pos="2880"/>
        </w:tabs>
        <w:ind w:left="2880" w:hanging="360"/>
      </w:pPr>
      <w:rPr>
        <w:rFonts w:ascii="Wingdings" w:hAnsi="Wingdings" w:hint="default"/>
      </w:rPr>
    </w:lvl>
    <w:lvl w:ilvl="4" w:tplc="D2BE83EC" w:tentative="1">
      <w:start w:val="1"/>
      <w:numFmt w:val="bullet"/>
      <w:lvlText w:val=""/>
      <w:lvlJc w:val="left"/>
      <w:pPr>
        <w:tabs>
          <w:tab w:val="num" w:pos="3600"/>
        </w:tabs>
        <w:ind w:left="3600" w:hanging="360"/>
      </w:pPr>
      <w:rPr>
        <w:rFonts w:ascii="Wingdings" w:hAnsi="Wingdings" w:hint="default"/>
      </w:rPr>
    </w:lvl>
    <w:lvl w:ilvl="5" w:tplc="8A0C4FAA" w:tentative="1">
      <w:start w:val="1"/>
      <w:numFmt w:val="bullet"/>
      <w:lvlText w:val=""/>
      <w:lvlJc w:val="left"/>
      <w:pPr>
        <w:tabs>
          <w:tab w:val="num" w:pos="4320"/>
        </w:tabs>
        <w:ind w:left="4320" w:hanging="360"/>
      </w:pPr>
      <w:rPr>
        <w:rFonts w:ascii="Wingdings" w:hAnsi="Wingdings" w:hint="default"/>
      </w:rPr>
    </w:lvl>
    <w:lvl w:ilvl="6" w:tplc="BDD67246" w:tentative="1">
      <w:start w:val="1"/>
      <w:numFmt w:val="bullet"/>
      <w:lvlText w:val=""/>
      <w:lvlJc w:val="left"/>
      <w:pPr>
        <w:tabs>
          <w:tab w:val="num" w:pos="5040"/>
        </w:tabs>
        <w:ind w:left="5040" w:hanging="360"/>
      </w:pPr>
      <w:rPr>
        <w:rFonts w:ascii="Wingdings" w:hAnsi="Wingdings" w:hint="default"/>
      </w:rPr>
    </w:lvl>
    <w:lvl w:ilvl="7" w:tplc="42CC0246" w:tentative="1">
      <w:start w:val="1"/>
      <w:numFmt w:val="bullet"/>
      <w:lvlText w:val=""/>
      <w:lvlJc w:val="left"/>
      <w:pPr>
        <w:tabs>
          <w:tab w:val="num" w:pos="5760"/>
        </w:tabs>
        <w:ind w:left="5760" w:hanging="360"/>
      </w:pPr>
      <w:rPr>
        <w:rFonts w:ascii="Wingdings" w:hAnsi="Wingdings" w:hint="default"/>
      </w:rPr>
    </w:lvl>
    <w:lvl w:ilvl="8" w:tplc="B46ADB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B5F3C"/>
    <w:multiLevelType w:val="hybridMultilevel"/>
    <w:tmpl w:val="9EC09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84DCD"/>
    <w:multiLevelType w:val="hybridMultilevel"/>
    <w:tmpl w:val="2BF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E700D"/>
    <w:multiLevelType w:val="hybridMultilevel"/>
    <w:tmpl w:val="FF6E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301B3"/>
    <w:multiLevelType w:val="hybridMultilevel"/>
    <w:tmpl w:val="87E6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F2628"/>
    <w:multiLevelType w:val="hybridMultilevel"/>
    <w:tmpl w:val="F5B4B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85DDC"/>
    <w:multiLevelType w:val="hybridMultilevel"/>
    <w:tmpl w:val="1FEA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3"/>
  </w:num>
  <w:num w:numId="5">
    <w:abstractNumId w:val="1"/>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 w:numId="12">
    <w:abstractNumId w:val="7"/>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B70621"/>
    <w:rsid w:val="00013BF0"/>
    <w:rsid w:val="00023223"/>
    <w:rsid w:val="00025289"/>
    <w:rsid w:val="00045061"/>
    <w:rsid w:val="000470F3"/>
    <w:rsid w:val="000478AA"/>
    <w:rsid w:val="00057758"/>
    <w:rsid w:val="000638D7"/>
    <w:rsid w:val="00065366"/>
    <w:rsid w:val="00085329"/>
    <w:rsid w:val="00096FFD"/>
    <w:rsid w:val="000B2D59"/>
    <w:rsid w:val="000B389C"/>
    <w:rsid w:val="000B7DC3"/>
    <w:rsid w:val="000C3422"/>
    <w:rsid w:val="000F5E2D"/>
    <w:rsid w:val="0010387B"/>
    <w:rsid w:val="00104FAC"/>
    <w:rsid w:val="00105B53"/>
    <w:rsid w:val="00113B8D"/>
    <w:rsid w:val="001163A5"/>
    <w:rsid w:val="001178D4"/>
    <w:rsid w:val="0014576B"/>
    <w:rsid w:val="00147455"/>
    <w:rsid w:val="0016445B"/>
    <w:rsid w:val="00171FCF"/>
    <w:rsid w:val="001738F8"/>
    <w:rsid w:val="00174530"/>
    <w:rsid w:val="00186ACA"/>
    <w:rsid w:val="001A36B6"/>
    <w:rsid w:val="001A6369"/>
    <w:rsid w:val="001B01E3"/>
    <w:rsid w:val="001D388E"/>
    <w:rsid w:val="001D3D98"/>
    <w:rsid w:val="00206D53"/>
    <w:rsid w:val="0023365F"/>
    <w:rsid w:val="00252F35"/>
    <w:rsid w:val="00260EFF"/>
    <w:rsid w:val="002651FB"/>
    <w:rsid w:val="0026575D"/>
    <w:rsid w:val="00282370"/>
    <w:rsid w:val="002B360E"/>
    <w:rsid w:val="002C083A"/>
    <w:rsid w:val="002C5003"/>
    <w:rsid w:val="002E4BD1"/>
    <w:rsid w:val="00306DB3"/>
    <w:rsid w:val="003070FD"/>
    <w:rsid w:val="003211AB"/>
    <w:rsid w:val="003255D0"/>
    <w:rsid w:val="00327F6D"/>
    <w:rsid w:val="00331641"/>
    <w:rsid w:val="00336BCA"/>
    <w:rsid w:val="00345C57"/>
    <w:rsid w:val="00364697"/>
    <w:rsid w:val="0037242E"/>
    <w:rsid w:val="00385248"/>
    <w:rsid w:val="0039273D"/>
    <w:rsid w:val="003A26E3"/>
    <w:rsid w:val="003A56AA"/>
    <w:rsid w:val="003D05D6"/>
    <w:rsid w:val="003D7926"/>
    <w:rsid w:val="003D7BCE"/>
    <w:rsid w:val="003E7D10"/>
    <w:rsid w:val="004009DE"/>
    <w:rsid w:val="004030D9"/>
    <w:rsid w:val="00403880"/>
    <w:rsid w:val="00403CC4"/>
    <w:rsid w:val="00407026"/>
    <w:rsid w:val="00407045"/>
    <w:rsid w:val="004119AE"/>
    <w:rsid w:val="00414318"/>
    <w:rsid w:val="004221BB"/>
    <w:rsid w:val="00427B42"/>
    <w:rsid w:val="0043576D"/>
    <w:rsid w:val="004479D2"/>
    <w:rsid w:val="0045276D"/>
    <w:rsid w:val="0047001E"/>
    <w:rsid w:val="004732BB"/>
    <w:rsid w:val="004808EB"/>
    <w:rsid w:val="004C1B0C"/>
    <w:rsid w:val="004D5EAD"/>
    <w:rsid w:val="004E2DFB"/>
    <w:rsid w:val="0051720A"/>
    <w:rsid w:val="005178BC"/>
    <w:rsid w:val="00521BCA"/>
    <w:rsid w:val="00533D5D"/>
    <w:rsid w:val="00543A29"/>
    <w:rsid w:val="00562EF5"/>
    <w:rsid w:val="005654C5"/>
    <w:rsid w:val="00590BB9"/>
    <w:rsid w:val="005A0D34"/>
    <w:rsid w:val="005B4D87"/>
    <w:rsid w:val="005C4216"/>
    <w:rsid w:val="005D31F1"/>
    <w:rsid w:val="005E6B2A"/>
    <w:rsid w:val="005F5A90"/>
    <w:rsid w:val="005F5C3A"/>
    <w:rsid w:val="005F6732"/>
    <w:rsid w:val="00613070"/>
    <w:rsid w:val="006167DE"/>
    <w:rsid w:val="00617F6D"/>
    <w:rsid w:val="0062188B"/>
    <w:rsid w:val="006267D8"/>
    <w:rsid w:val="006303EE"/>
    <w:rsid w:val="006353B2"/>
    <w:rsid w:val="00642D90"/>
    <w:rsid w:val="006439B9"/>
    <w:rsid w:val="00644A6F"/>
    <w:rsid w:val="00645FF0"/>
    <w:rsid w:val="00653A52"/>
    <w:rsid w:val="00667B22"/>
    <w:rsid w:val="00670768"/>
    <w:rsid w:val="00676721"/>
    <w:rsid w:val="00685DD1"/>
    <w:rsid w:val="00692D6F"/>
    <w:rsid w:val="006966D0"/>
    <w:rsid w:val="006A6961"/>
    <w:rsid w:val="006B3133"/>
    <w:rsid w:val="006D12C7"/>
    <w:rsid w:val="00702029"/>
    <w:rsid w:val="00706C03"/>
    <w:rsid w:val="0072380F"/>
    <w:rsid w:val="00751BE8"/>
    <w:rsid w:val="0076117F"/>
    <w:rsid w:val="007667BA"/>
    <w:rsid w:val="007A32A0"/>
    <w:rsid w:val="007C07DE"/>
    <w:rsid w:val="007D14BC"/>
    <w:rsid w:val="007D34C9"/>
    <w:rsid w:val="007D74EB"/>
    <w:rsid w:val="007F27D0"/>
    <w:rsid w:val="00815085"/>
    <w:rsid w:val="0081648A"/>
    <w:rsid w:val="0083197A"/>
    <w:rsid w:val="0085066A"/>
    <w:rsid w:val="0085354F"/>
    <w:rsid w:val="008A0F86"/>
    <w:rsid w:val="008C1126"/>
    <w:rsid w:val="008D256E"/>
    <w:rsid w:val="008D391E"/>
    <w:rsid w:val="008E7838"/>
    <w:rsid w:val="008F7324"/>
    <w:rsid w:val="0091131B"/>
    <w:rsid w:val="00917924"/>
    <w:rsid w:val="00923F0A"/>
    <w:rsid w:val="00925524"/>
    <w:rsid w:val="0093073E"/>
    <w:rsid w:val="00934D13"/>
    <w:rsid w:val="009367F4"/>
    <w:rsid w:val="00937F1C"/>
    <w:rsid w:val="0094036C"/>
    <w:rsid w:val="0095076B"/>
    <w:rsid w:val="00952F3C"/>
    <w:rsid w:val="00954BC7"/>
    <w:rsid w:val="00956344"/>
    <w:rsid w:val="00986A18"/>
    <w:rsid w:val="0098707D"/>
    <w:rsid w:val="0099503A"/>
    <w:rsid w:val="009B09F8"/>
    <w:rsid w:val="009B3174"/>
    <w:rsid w:val="009C471B"/>
    <w:rsid w:val="009E05F3"/>
    <w:rsid w:val="009E7AB4"/>
    <w:rsid w:val="00A02810"/>
    <w:rsid w:val="00A115EC"/>
    <w:rsid w:val="00A2185C"/>
    <w:rsid w:val="00A23CDC"/>
    <w:rsid w:val="00A50CA8"/>
    <w:rsid w:val="00A52C38"/>
    <w:rsid w:val="00A62BEE"/>
    <w:rsid w:val="00A638FE"/>
    <w:rsid w:val="00A70838"/>
    <w:rsid w:val="00A71F03"/>
    <w:rsid w:val="00A82E6C"/>
    <w:rsid w:val="00A87B79"/>
    <w:rsid w:val="00A90DB9"/>
    <w:rsid w:val="00A921C2"/>
    <w:rsid w:val="00A93757"/>
    <w:rsid w:val="00AA24FF"/>
    <w:rsid w:val="00AA4210"/>
    <w:rsid w:val="00AC085C"/>
    <w:rsid w:val="00AD214B"/>
    <w:rsid w:val="00AE40A0"/>
    <w:rsid w:val="00AF07A4"/>
    <w:rsid w:val="00B11BB7"/>
    <w:rsid w:val="00B346E3"/>
    <w:rsid w:val="00B55E83"/>
    <w:rsid w:val="00B60995"/>
    <w:rsid w:val="00B64D92"/>
    <w:rsid w:val="00B70621"/>
    <w:rsid w:val="00B708BD"/>
    <w:rsid w:val="00B732BB"/>
    <w:rsid w:val="00B85111"/>
    <w:rsid w:val="00B95DE1"/>
    <w:rsid w:val="00BA7FF1"/>
    <w:rsid w:val="00BB1B98"/>
    <w:rsid w:val="00BC5132"/>
    <w:rsid w:val="00BD150E"/>
    <w:rsid w:val="00BD4304"/>
    <w:rsid w:val="00BD5D91"/>
    <w:rsid w:val="00BE537A"/>
    <w:rsid w:val="00BE6B2B"/>
    <w:rsid w:val="00C066FD"/>
    <w:rsid w:val="00C441E8"/>
    <w:rsid w:val="00C44F8C"/>
    <w:rsid w:val="00C47CCB"/>
    <w:rsid w:val="00C655B8"/>
    <w:rsid w:val="00C73042"/>
    <w:rsid w:val="00C738DB"/>
    <w:rsid w:val="00C75DFD"/>
    <w:rsid w:val="00C91038"/>
    <w:rsid w:val="00CA2EF0"/>
    <w:rsid w:val="00CA534F"/>
    <w:rsid w:val="00CC7C88"/>
    <w:rsid w:val="00CE146E"/>
    <w:rsid w:val="00CE1FCC"/>
    <w:rsid w:val="00CE57C2"/>
    <w:rsid w:val="00CE786F"/>
    <w:rsid w:val="00CF2274"/>
    <w:rsid w:val="00D05185"/>
    <w:rsid w:val="00D27C55"/>
    <w:rsid w:val="00D27F73"/>
    <w:rsid w:val="00D362B9"/>
    <w:rsid w:val="00D37D42"/>
    <w:rsid w:val="00D37EFF"/>
    <w:rsid w:val="00D5435B"/>
    <w:rsid w:val="00D73D7A"/>
    <w:rsid w:val="00D76BB4"/>
    <w:rsid w:val="00D847B7"/>
    <w:rsid w:val="00DB0DF8"/>
    <w:rsid w:val="00DD5AC5"/>
    <w:rsid w:val="00DF6BE6"/>
    <w:rsid w:val="00E003BD"/>
    <w:rsid w:val="00E11008"/>
    <w:rsid w:val="00E23281"/>
    <w:rsid w:val="00E31C4C"/>
    <w:rsid w:val="00E33DF0"/>
    <w:rsid w:val="00E43ECB"/>
    <w:rsid w:val="00E54E56"/>
    <w:rsid w:val="00E60BD1"/>
    <w:rsid w:val="00E62A3F"/>
    <w:rsid w:val="00E7475D"/>
    <w:rsid w:val="00E80C8F"/>
    <w:rsid w:val="00E80CE5"/>
    <w:rsid w:val="00E8138A"/>
    <w:rsid w:val="00E84B42"/>
    <w:rsid w:val="00E93AE1"/>
    <w:rsid w:val="00EB289A"/>
    <w:rsid w:val="00EB6B20"/>
    <w:rsid w:val="00ED1296"/>
    <w:rsid w:val="00ED1C83"/>
    <w:rsid w:val="00ED6499"/>
    <w:rsid w:val="00EE27A4"/>
    <w:rsid w:val="00EE7CBF"/>
    <w:rsid w:val="00F00A06"/>
    <w:rsid w:val="00F04A10"/>
    <w:rsid w:val="00F102F6"/>
    <w:rsid w:val="00F15372"/>
    <w:rsid w:val="00F175E2"/>
    <w:rsid w:val="00F267EA"/>
    <w:rsid w:val="00F42E0B"/>
    <w:rsid w:val="00F655B5"/>
    <w:rsid w:val="00F72997"/>
    <w:rsid w:val="00F7487F"/>
    <w:rsid w:val="00F77282"/>
    <w:rsid w:val="00F85AFB"/>
    <w:rsid w:val="00FA5ABB"/>
    <w:rsid w:val="00FA7FF9"/>
    <w:rsid w:val="00FB3F78"/>
    <w:rsid w:val="00FC1DB9"/>
    <w:rsid w:val="00FC2E4F"/>
    <w:rsid w:val="00FC6DAA"/>
    <w:rsid w:val="00FC7340"/>
    <w:rsid w:val="00FF5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F0BF0E"/>
  <w15:docId w15:val="{84FD6B39-96E3-44F8-9B28-8819AC3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CC"/>
    <w:pPr>
      <w:spacing w:after="200" w:line="276" w:lineRule="auto"/>
    </w:pPr>
    <w:rPr>
      <w:sz w:val="22"/>
      <w:szCs w:val="22"/>
    </w:rPr>
  </w:style>
  <w:style w:type="paragraph" w:styleId="Heading3">
    <w:name w:val="heading 3"/>
    <w:basedOn w:val="Normal"/>
    <w:next w:val="Normal"/>
    <w:link w:val="Heading3Char"/>
    <w:semiHidden/>
    <w:unhideWhenUsed/>
    <w:qFormat/>
    <w:rsid w:val="00F04A10"/>
    <w:pPr>
      <w:keepNext/>
      <w:spacing w:before="240" w:after="60" w:line="240" w:lineRule="auto"/>
      <w:outlineLvl w:val="2"/>
    </w:pPr>
    <w:rPr>
      <w:rFonts w:ascii="Times New Roman" w:eastAsia="Times New Roman" w:hAnsi="Times New Roman"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621"/>
    <w:rPr>
      <w:sz w:val="22"/>
      <w:szCs w:val="22"/>
    </w:rPr>
  </w:style>
  <w:style w:type="paragraph" w:styleId="BalloonText">
    <w:name w:val="Balloon Text"/>
    <w:basedOn w:val="Normal"/>
    <w:link w:val="BalloonTextChar"/>
    <w:uiPriority w:val="99"/>
    <w:semiHidden/>
    <w:unhideWhenUsed/>
    <w:rsid w:val="00B706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0621"/>
    <w:rPr>
      <w:rFonts w:ascii="Tahoma" w:hAnsi="Tahoma" w:cs="Tahoma"/>
      <w:sz w:val="16"/>
      <w:szCs w:val="16"/>
    </w:rPr>
  </w:style>
  <w:style w:type="paragraph" w:styleId="ListParagraph">
    <w:name w:val="List Paragraph"/>
    <w:basedOn w:val="Normal"/>
    <w:uiPriority w:val="34"/>
    <w:qFormat/>
    <w:rsid w:val="00BC5132"/>
    <w:pPr>
      <w:ind w:left="720"/>
      <w:contextualSpacing/>
    </w:pPr>
  </w:style>
  <w:style w:type="paragraph" w:styleId="FootnoteText">
    <w:name w:val="footnote text"/>
    <w:basedOn w:val="Normal"/>
    <w:link w:val="FootnoteTextChar"/>
    <w:uiPriority w:val="99"/>
    <w:semiHidden/>
    <w:unhideWhenUsed/>
    <w:rsid w:val="00306DB3"/>
    <w:pPr>
      <w:spacing w:after="0" w:line="240" w:lineRule="auto"/>
    </w:pPr>
    <w:rPr>
      <w:sz w:val="20"/>
      <w:szCs w:val="20"/>
    </w:rPr>
  </w:style>
  <w:style w:type="character" w:customStyle="1" w:styleId="FootnoteTextChar">
    <w:name w:val="Footnote Text Char"/>
    <w:link w:val="FootnoteText"/>
    <w:uiPriority w:val="99"/>
    <w:semiHidden/>
    <w:rsid w:val="00306DB3"/>
    <w:rPr>
      <w:sz w:val="20"/>
      <w:szCs w:val="20"/>
    </w:rPr>
  </w:style>
  <w:style w:type="character" w:styleId="FootnoteReference">
    <w:name w:val="footnote reference"/>
    <w:uiPriority w:val="99"/>
    <w:semiHidden/>
    <w:unhideWhenUsed/>
    <w:rsid w:val="00306DB3"/>
    <w:rPr>
      <w:vertAlign w:val="superscript"/>
    </w:rPr>
  </w:style>
  <w:style w:type="character" w:styleId="Hyperlink">
    <w:name w:val="Hyperlink"/>
    <w:uiPriority w:val="99"/>
    <w:unhideWhenUsed/>
    <w:rsid w:val="003A26E3"/>
    <w:rPr>
      <w:color w:val="0000FF"/>
      <w:u w:val="single"/>
    </w:rPr>
  </w:style>
  <w:style w:type="paragraph" w:styleId="NormalWeb">
    <w:name w:val="Normal (Web)"/>
    <w:basedOn w:val="Normal"/>
    <w:uiPriority w:val="99"/>
    <w:semiHidden/>
    <w:unhideWhenUsed/>
    <w:rsid w:val="008D391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80C8F"/>
    <w:pPr>
      <w:tabs>
        <w:tab w:val="center" w:pos="4680"/>
        <w:tab w:val="right" w:pos="9360"/>
      </w:tabs>
      <w:spacing w:after="0" w:line="240" w:lineRule="auto"/>
    </w:pPr>
  </w:style>
  <w:style w:type="character" w:customStyle="1" w:styleId="HeaderChar">
    <w:name w:val="Header Char"/>
    <w:link w:val="Header"/>
    <w:uiPriority w:val="99"/>
    <w:rsid w:val="00E80C8F"/>
    <w:rPr>
      <w:sz w:val="22"/>
      <w:szCs w:val="22"/>
    </w:rPr>
  </w:style>
  <w:style w:type="paragraph" w:styleId="Footer">
    <w:name w:val="footer"/>
    <w:basedOn w:val="Normal"/>
    <w:link w:val="FooterChar"/>
    <w:uiPriority w:val="99"/>
    <w:unhideWhenUsed/>
    <w:rsid w:val="00E80C8F"/>
    <w:pPr>
      <w:tabs>
        <w:tab w:val="center" w:pos="4680"/>
        <w:tab w:val="right" w:pos="9360"/>
      </w:tabs>
      <w:spacing w:after="0" w:line="240" w:lineRule="auto"/>
    </w:pPr>
  </w:style>
  <w:style w:type="character" w:customStyle="1" w:styleId="FooterChar">
    <w:name w:val="Footer Char"/>
    <w:link w:val="Footer"/>
    <w:uiPriority w:val="99"/>
    <w:rsid w:val="00E80C8F"/>
    <w:rPr>
      <w:sz w:val="22"/>
      <w:szCs w:val="22"/>
    </w:rPr>
  </w:style>
  <w:style w:type="paragraph" w:customStyle="1" w:styleId="Default">
    <w:name w:val="Default"/>
    <w:rsid w:val="0016445B"/>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E003BD"/>
    <w:rPr>
      <w:color w:val="800080"/>
      <w:u w:val="single"/>
    </w:rPr>
  </w:style>
  <w:style w:type="character" w:customStyle="1" w:styleId="Heading3Char">
    <w:name w:val="Heading 3 Char"/>
    <w:link w:val="Heading3"/>
    <w:semiHidden/>
    <w:rsid w:val="00F04A10"/>
    <w:rPr>
      <w:rFonts w:ascii="Times New Roman" w:eastAsia="Times New Roman" w:hAnsi="Times New Roman" w:cs="Arial"/>
      <w:bCs/>
      <w:i/>
      <w:sz w:val="24"/>
      <w:szCs w:val="26"/>
    </w:rPr>
  </w:style>
  <w:style w:type="character" w:styleId="CommentReference">
    <w:name w:val="annotation reference"/>
    <w:uiPriority w:val="99"/>
    <w:semiHidden/>
    <w:unhideWhenUsed/>
    <w:rsid w:val="00B708BD"/>
    <w:rPr>
      <w:sz w:val="16"/>
      <w:szCs w:val="16"/>
    </w:rPr>
  </w:style>
  <w:style w:type="paragraph" w:styleId="CommentText">
    <w:name w:val="annotation text"/>
    <w:basedOn w:val="Normal"/>
    <w:link w:val="CommentTextChar"/>
    <w:uiPriority w:val="99"/>
    <w:semiHidden/>
    <w:unhideWhenUsed/>
    <w:rsid w:val="00B708BD"/>
    <w:rPr>
      <w:sz w:val="20"/>
      <w:szCs w:val="20"/>
    </w:rPr>
  </w:style>
  <w:style w:type="character" w:customStyle="1" w:styleId="CommentTextChar">
    <w:name w:val="Comment Text Char"/>
    <w:basedOn w:val="DefaultParagraphFont"/>
    <w:link w:val="CommentText"/>
    <w:uiPriority w:val="99"/>
    <w:semiHidden/>
    <w:rsid w:val="00B708BD"/>
  </w:style>
  <w:style w:type="paragraph" w:styleId="CommentSubject">
    <w:name w:val="annotation subject"/>
    <w:basedOn w:val="CommentText"/>
    <w:next w:val="CommentText"/>
    <w:link w:val="CommentSubjectChar"/>
    <w:uiPriority w:val="99"/>
    <w:semiHidden/>
    <w:unhideWhenUsed/>
    <w:rsid w:val="00B708BD"/>
    <w:rPr>
      <w:b/>
      <w:bCs/>
    </w:rPr>
  </w:style>
  <w:style w:type="character" w:customStyle="1" w:styleId="CommentSubjectChar">
    <w:name w:val="Comment Subject Char"/>
    <w:link w:val="CommentSubject"/>
    <w:uiPriority w:val="99"/>
    <w:semiHidden/>
    <w:rsid w:val="00B708BD"/>
    <w:rPr>
      <w:b/>
      <w:bCs/>
    </w:rPr>
  </w:style>
  <w:style w:type="character" w:customStyle="1" w:styleId="st1">
    <w:name w:val="st1"/>
    <w:basedOn w:val="DefaultParagraphFont"/>
    <w:rsid w:val="00E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3408">
      <w:bodyDiv w:val="1"/>
      <w:marLeft w:val="0"/>
      <w:marRight w:val="0"/>
      <w:marTop w:val="0"/>
      <w:marBottom w:val="0"/>
      <w:divBdr>
        <w:top w:val="none" w:sz="0" w:space="0" w:color="auto"/>
        <w:left w:val="none" w:sz="0" w:space="0" w:color="auto"/>
        <w:bottom w:val="none" w:sz="0" w:space="0" w:color="auto"/>
        <w:right w:val="none" w:sz="0" w:space="0" w:color="auto"/>
      </w:divBdr>
    </w:div>
    <w:div w:id="215703735">
      <w:bodyDiv w:val="1"/>
      <w:marLeft w:val="0"/>
      <w:marRight w:val="0"/>
      <w:marTop w:val="0"/>
      <w:marBottom w:val="0"/>
      <w:divBdr>
        <w:top w:val="none" w:sz="0" w:space="0" w:color="auto"/>
        <w:left w:val="none" w:sz="0" w:space="0" w:color="auto"/>
        <w:bottom w:val="none" w:sz="0" w:space="0" w:color="auto"/>
        <w:right w:val="none" w:sz="0" w:space="0" w:color="auto"/>
      </w:divBdr>
      <w:divsChild>
        <w:div w:id="781387274">
          <w:marLeft w:val="1267"/>
          <w:marRight w:val="0"/>
          <w:marTop w:val="0"/>
          <w:marBottom w:val="0"/>
          <w:divBdr>
            <w:top w:val="none" w:sz="0" w:space="0" w:color="auto"/>
            <w:left w:val="none" w:sz="0" w:space="0" w:color="auto"/>
            <w:bottom w:val="none" w:sz="0" w:space="0" w:color="auto"/>
            <w:right w:val="none" w:sz="0" w:space="0" w:color="auto"/>
          </w:divBdr>
        </w:div>
        <w:div w:id="480391154">
          <w:marLeft w:val="1267"/>
          <w:marRight w:val="0"/>
          <w:marTop w:val="0"/>
          <w:marBottom w:val="0"/>
          <w:divBdr>
            <w:top w:val="none" w:sz="0" w:space="0" w:color="auto"/>
            <w:left w:val="none" w:sz="0" w:space="0" w:color="auto"/>
            <w:bottom w:val="none" w:sz="0" w:space="0" w:color="auto"/>
            <w:right w:val="none" w:sz="0" w:space="0" w:color="auto"/>
          </w:divBdr>
        </w:div>
        <w:div w:id="1397045774">
          <w:marLeft w:val="1267"/>
          <w:marRight w:val="0"/>
          <w:marTop w:val="0"/>
          <w:marBottom w:val="0"/>
          <w:divBdr>
            <w:top w:val="none" w:sz="0" w:space="0" w:color="auto"/>
            <w:left w:val="none" w:sz="0" w:space="0" w:color="auto"/>
            <w:bottom w:val="none" w:sz="0" w:space="0" w:color="auto"/>
            <w:right w:val="none" w:sz="0" w:space="0" w:color="auto"/>
          </w:divBdr>
        </w:div>
        <w:div w:id="776681672">
          <w:marLeft w:val="547"/>
          <w:marRight w:val="0"/>
          <w:marTop w:val="0"/>
          <w:marBottom w:val="0"/>
          <w:divBdr>
            <w:top w:val="none" w:sz="0" w:space="0" w:color="auto"/>
            <w:left w:val="none" w:sz="0" w:space="0" w:color="auto"/>
            <w:bottom w:val="none" w:sz="0" w:space="0" w:color="auto"/>
            <w:right w:val="none" w:sz="0" w:space="0" w:color="auto"/>
          </w:divBdr>
        </w:div>
        <w:div w:id="1300038029">
          <w:marLeft w:val="1267"/>
          <w:marRight w:val="0"/>
          <w:marTop w:val="0"/>
          <w:marBottom w:val="0"/>
          <w:divBdr>
            <w:top w:val="none" w:sz="0" w:space="0" w:color="auto"/>
            <w:left w:val="none" w:sz="0" w:space="0" w:color="auto"/>
            <w:bottom w:val="none" w:sz="0" w:space="0" w:color="auto"/>
            <w:right w:val="none" w:sz="0" w:space="0" w:color="auto"/>
          </w:divBdr>
        </w:div>
        <w:div w:id="1901138189">
          <w:marLeft w:val="1267"/>
          <w:marRight w:val="0"/>
          <w:marTop w:val="0"/>
          <w:marBottom w:val="0"/>
          <w:divBdr>
            <w:top w:val="none" w:sz="0" w:space="0" w:color="auto"/>
            <w:left w:val="none" w:sz="0" w:space="0" w:color="auto"/>
            <w:bottom w:val="none" w:sz="0" w:space="0" w:color="auto"/>
            <w:right w:val="none" w:sz="0" w:space="0" w:color="auto"/>
          </w:divBdr>
        </w:div>
        <w:div w:id="1814984562">
          <w:marLeft w:val="1267"/>
          <w:marRight w:val="0"/>
          <w:marTop w:val="0"/>
          <w:marBottom w:val="0"/>
          <w:divBdr>
            <w:top w:val="none" w:sz="0" w:space="0" w:color="auto"/>
            <w:left w:val="none" w:sz="0" w:space="0" w:color="auto"/>
            <w:bottom w:val="none" w:sz="0" w:space="0" w:color="auto"/>
            <w:right w:val="none" w:sz="0" w:space="0" w:color="auto"/>
          </w:divBdr>
        </w:div>
      </w:divsChild>
    </w:div>
    <w:div w:id="1419712042">
      <w:bodyDiv w:val="1"/>
      <w:marLeft w:val="0"/>
      <w:marRight w:val="0"/>
      <w:marTop w:val="0"/>
      <w:marBottom w:val="0"/>
      <w:divBdr>
        <w:top w:val="none" w:sz="0" w:space="0" w:color="auto"/>
        <w:left w:val="none" w:sz="0" w:space="0" w:color="auto"/>
        <w:bottom w:val="none" w:sz="0" w:space="0" w:color="auto"/>
        <w:right w:val="none" w:sz="0" w:space="0" w:color="auto"/>
      </w:divBdr>
      <w:divsChild>
        <w:div w:id="1752308293">
          <w:marLeft w:val="1080"/>
          <w:marRight w:val="0"/>
          <w:marTop w:val="50"/>
          <w:marBottom w:val="50"/>
          <w:divBdr>
            <w:top w:val="none" w:sz="0" w:space="0" w:color="auto"/>
            <w:left w:val="none" w:sz="0" w:space="0" w:color="auto"/>
            <w:bottom w:val="none" w:sz="0" w:space="0" w:color="auto"/>
            <w:right w:val="none" w:sz="0" w:space="0" w:color="auto"/>
          </w:divBdr>
        </w:div>
      </w:divsChild>
    </w:div>
    <w:div w:id="20299132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270287">
          <w:marLeft w:val="0"/>
          <w:marRight w:val="0"/>
          <w:marTop w:val="0"/>
          <w:marBottom w:val="0"/>
          <w:divBdr>
            <w:top w:val="none" w:sz="0" w:space="0" w:color="auto"/>
            <w:left w:val="none" w:sz="0" w:space="0" w:color="auto"/>
            <w:bottom w:val="none" w:sz="0" w:space="0" w:color="auto"/>
            <w:right w:val="none" w:sz="0" w:space="0" w:color="auto"/>
          </w:divBdr>
        </w:div>
        <w:div w:id="140075472">
          <w:marLeft w:val="0"/>
          <w:marRight w:val="0"/>
          <w:marTop w:val="0"/>
          <w:marBottom w:val="0"/>
          <w:divBdr>
            <w:top w:val="none" w:sz="0" w:space="0" w:color="auto"/>
            <w:left w:val="none" w:sz="0" w:space="0" w:color="auto"/>
            <w:bottom w:val="none" w:sz="0" w:space="0" w:color="auto"/>
            <w:right w:val="none" w:sz="0" w:space="0" w:color="auto"/>
          </w:divBdr>
        </w:div>
        <w:div w:id="305546335">
          <w:marLeft w:val="0"/>
          <w:marRight w:val="0"/>
          <w:marTop w:val="0"/>
          <w:marBottom w:val="0"/>
          <w:divBdr>
            <w:top w:val="none" w:sz="0" w:space="0" w:color="auto"/>
            <w:left w:val="none" w:sz="0" w:space="0" w:color="auto"/>
            <w:bottom w:val="none" w:sz="0" w:space="0" w:color="auto"/>
            <w:right w:val="none" w:sz="0" w:space="0" w:color="auto"/>
          </w:divBdr>
        </w:div>
        <w:div w:id="327483505">
          <w:marLeft w:val="0"/>
          <w:marRight w:val="0"/>
          <w:marTop w:val="0"/>
          <w:marBottom w:val="0"/>
          <w:divBdr>
            <w:top w:val="none" w:sz="0" w:space="0" w:color="auto"/>
            <w:left w:val="none" w:sz="0" w:space="0" w:color="auto"/>
            <w:bottom w:val="none" w:sz="0" w:space="0" w:color="auto"/>
            <w:right w:val="none" w:sz="0" w:space="0" w:color="auto"/>
          </w:divBdr>
        </w:div>
        <w:div w:id="1468627242">
          <w:marLeft w:val="0"/>
          <w:marRight w:val="0"/>
          <w:marTop w:val="0"/>
          <w:marBottom w:val="0"/>
          <w:divBdr>
            <w:top w:val="none" w:sz="0" w:space="0" w:color="auto"/>
            <w:left w:val="none" w:sz="0" w:space="0" w:color="auto"/>
            <w:bottom w:val="none" w:sz="0" w:space="0" w:color="auto"/>
            <w:right w:val="none" w:sz="0" w:space="0" w:color="auto"/>
          </w:divBdr>
        </w:div>
        <w:div w:id="1491823195">
          <w:marLeft w:val="0"/>
          <w:marRight w:val="0"/>
          <w:marTop w:val="0"/>
          <w:marBottom w:val="0"/>
          <w:divBdr>
            <w:top w:val="none" w:sz="0" w:space="0" w:color="auto"/>
            <w:left w:val="none" w:sz="0" w:space="0" w:color="auto"/>
            <w:bottom w:val="none" w:sz="0" w:space="0" w:color="auto"/>
            <w:right w:val="none" w:sz="0" w:space="0" w:color="auto"/>
          </w:divBdr>
        </w:div>
        <w:div w:id="1562668552">
          <w:marLeft w:val="0"/>
          <w:marRight w:val="0"/>
          <w:marTop w:val="0"/>
          <w:marBottom w:val="0"/>
          <w:divBdr>
            <w:top w:val="none" w:sz="0" w:space="0" w:color="auto"/>
            <w:left w:val="none" w:sz="0" w:space="0" w:color="auto"/>
            <w:bottom w:val="none" w:sz="0" w:space="0" w:color="auto"/>
            <w:right w:val="none" w:sz="0" w:space="0" w:color="auto"/>
          </w:divBdr>
        </w:div>
        <w:div w:id="2011911121">
          <w:marLeft w:val="0"/>
          <w:marRight w:val="0"/>
          <w:marTop w:val="0"/>
          <w:marBottom w:val="0"/>
          <w:divBdr>
            <w:top w:val="none" w:sz="0" w:space="0" w:color="auto"/>
            <w:left w:val="none" w:sz="0" w:space="0" w:color="auto"/>
            <w:bottom w:val="none" w:sz="0" w:space="0" w:color="auto"/>
            <w:right w:val="none" w:sz="0" w:space="0" w:color="auto"/>
          </w:divBdr>
        </w:div>
        <w:div w:id="214665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highere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SSS@ucdenver.ed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ucdenver.edu/internation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CC8D-5CB2-455A-873C-24C6F0EF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7</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18417</CharactersWithSpaces>
  <SharedDoc>false</SharedDoc>
  <HLinks>
    <vt:vector size="12" baseType="variant">
      <vt:variant>
        <vt:i4>65621</vt:i4>
      </vt:variant>
      <vt:variant>
        <vt:i4>0</vt:i4>
      </vt:variant>
      <vt:variant>
        <vt:i4>0</vt:i4>
      </vt:variant>
      <vt:variant>
        <vt:i4>5</vt:i4>
      </vt:variant>
      <vt:variant>
        <vt:lpwstr>http://www.aclu.org/drug-law-reform-immigrants-rights-racial-justice/know-your-rights-what-do-if-you</vt:lpwstr>
      </vt:variant>
      <vt:variant>
        <vt:lpwstr/>
      </vt:variant>
      <vt:variant>
        <vt:i4>4915275</vt:i4>
      </vt:variant>
      <vt:variant>
        <vt:i4>0</vt:i4>
      </vt:variant>
      <vt:variant>
        <vt:i4>0</vt:i4>
      </vt:variant>
      <vt:variant>
        <vt:i4>5</vt:i4>
      </vt:variant>
      <vt:variant>
        <vt:lpwstr>http://www.ucdenver.edu/international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Bryan Clubb</dc:creator>
  <cp:lastModifiedBy>Morozova, Svetlana</cp:lastModifiedBy>
  <cp:revision>36</cp:revision>
  <cp:lastPrinted>2013-03-18T22:32:00Z</cp:lastPrinted>
  <dcterms:created xsi:type="dcterms:W3CDTF">2013-01-04T15:25:00Z</dcterms:created>
  <dcterms:modified xsi:type="dcterms:W3CDTF">2020-10-19T15:09:00Z</dcterms:modified>
</cp:coreProperties>
</file>